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A44" w:rsidRPr="007660C8" w:rsidRDefault="004A642F" w:rsidP="0083796B">
      <w:pPr>
        <w:widowControl w:val="0"/>
        <w:autoSpaceDE w:val="0"/>
        <w:autoSpaceDN w:val="0"/>
        <w:adjustRightInd w:val="0"/>
        <w:spacing w:before="80"/>
        <w:jc w:val="center"/>
        <w:rPr>
          <w:rFonts w:asciiTheme="minorHAnsi" w:hAnsiTheme="minorHAnsi" w:cstheme="minorHAnsi"/>
          <w:b/>
          <w:bCs/>
          <w:sz w:val="32"/>
          <w:szCs w:val="32"/>
        </w:rPr>
      </w:pPr>
      <w:r w:rsidRPr="007660C8">
        <w:rPr>
          <w:rFonts w:asciiTheme="minorHAnsi" w:hAnsiTheme="minorHAnsi" w:cstheme="minorHAnsi"/>
          <w:b/>
          <w:bCs/>
          <w:sz w:val="32"/>
          <w:szCs w:val="32"/>
        </w:rPr>
        <w:t>QUY</w:t>
      </w:r>
      <w:r w:rsidR="00E76A44" w:rsidRPr="007660C8">
        <w:rPr>
          <w:rFonts w:asciiTheme="minorHAnsi" w:hAnsiTheme="minorHAnsi" w:cstheme="minorHAnsi"/>
          <w:b/>
          <w:bCs/>
          <w:sz w:val="32"/>
          <w:szCs w:val="32"/>
        </w:rPr>
        <w:t xml:space="preserve"> </w:t>
      </w:r>
      <w:r w:rsidR="00904139" w:rsidRPr="007660C8">
        <w:rPr>
          <w:rFonts w:asciiTheme="minorHAnsi" w:hAnsiTheme="minorHAnsi" w:cstheme="minorHAnsi"/>
          <w:b/>
          <w:bCs/>
          <w:sz w:val="32"/>
          <w:szCs w:val="32"/>
        </w:rPr>
        <w:t xml:space="preserve">TẮC </w:t>
      </w:r>
    </w:p>
    <w:p w:rsidR="00904139" w:rsidRPr="007660C8" w:rsidRDefault="0083656E" w:rsidP="0083796B">
      <w:pPr>
        <w:widowControl w:val="0"/>
        <w:autoSpaceDE w:val="0"/>
        <w:autoSpaceDN w:val="0"/>
        <w:adjustRightInd w:val="0"/>
        <w:spacing w:before="80"/>
        <w:jc w:val="center"/>
        <w:rPr>
          <w:rFonts w:asciiTheme="minorHAnsi" w:hAnsiTheme="minorHAnsi" w:cstheme="minorHAnsi"/>
          <w:b/>
          <w:bCs/>
          <w:sz w:val="22"/>
          <w:szCs w:val="22"/>
        </w:rPr>
      </w:pPr>
      <w:r w:rsidRPr="007660C8">
        <w:rPr>
          <w:rFonts w:asciiTheme="minorHAnsi" w:hAnsiTheme="minorHAnsi" w:cstheme="minorHAnsi"/>
          <w:b/>
          <w:bCs/>
          <w:sz w:val="22"/>
          <w:szCs w:val="22"/>
        </w:rPr>
        <w:t>BẢO HIỂM MÁY MÓC THIẾT BỊ CHO THUÊ</w:t>
      </w:r>
    </w:p>
    <w:p w:rsidR="00EC5B2A" w:rsidRPr="007660C8" w:rsidRDefault="00EC5B2A" w:rsidP="0083796B">
      <w:pPr>
        <w:widowControl w:val="0"/>
        <w:autoSpaceDE w:val="0"/>
        <w:autoSpaceDN w:val="0"/>
        <w:adjustRightInd w:val="0"/>
        <w:spacing w:before="80"/>
        <w:jc w:val="center"/>
        <w:rPr>
          <w:rFonts w:asciiTheme="minorHAnsi" w:hAnsiTheme="minorHAnsi" w:cstheme="minorHAnsi"/>
          <w:bCs/>
          <w:i/>
          <w:sz w:val="22"/>
          <w:szCs w:val="22"/>
        </w:rPr>
      </w:pPr>
      <w:r w:rsidRPr="007660C8">
        <w:rPr>
          <w:rFonts w:asciiTheme="minorHAnsi" w:hAnsiTheme="minorHAnsi" w:cstheme="minorHAnsi"/>
          <w:bCs/>
          <w:i/>
          <w:sz w:val="22"/>
          <w:szCs w:val="22"/>
        </w:rPr>
        <w:t>(Ban hành theo quyết định số 081/2007/QD-AAA ngày 03/04/2007</w:t>
      </w:r>
      <w:r w:rsidR="00053269" w:rsidRPr="007660C8">
        <w:rPr>
          <w:rFonts w:asciiTheme="minorHAnsi" w:hAnsiTheme="minorHAnsi" w:cstheme="minorHAnsi"/>
          <w:bCs/>
          <w:i/>
          <w:sz w:val="22"/>
          <w:szCs w:val="22"/>
        </w:rPr>
        <w:t xml:space="preserve"> của Bảo Hiểm AAA</w:t>
      </w:r>
      <w:r w:rsidRPr="007660C8">
        <w:rPr>
          <w:rFonts w:asciiTheme="minorHAnsi" w:hAnsiTheme="minorHAnsi" w:cstheme="minorHAnsi"/>
          <w:bCs/>
          <w:i/>
          <w:sz w:val="22"/>
          <w:szCs w:val="22"/>
        </w:rPr>
        <w:t>)</w:t>
      </w:r>
    </w:p>
    <w:p w:rsidR="00904139" w:rsidRPr="007660C8" w:rsidRDefault="00904139" w:rsidP="0083796B">
      <w:pPr>
        <w:widowControl w:val="0"/>
        <w:autoSpaceDE w:val="0"/>
        <w:autoSpaceDN w:val="0"/>
        <w:adjustRightInd w:val="0"/>
        <w:spacing w:before="80"/>
        <w:jc w:val="center"/>
        <w:rPr>
          <w:rFonts w:asciiTheme="minorHAnsi" w:hAnsiTheme="minorHAnsi" w:cstheme="minorHAnsi"/>
          <w:sz w:val="22"/>
          <w:szCs w:val="22"/>
        </w:rPr>
      </w:pPr>
    </w:p>
    <w:p w:rsidR="00904139" w:rsidRPr="007660C8" w:rsidRDefault="0083656E" w:rsidP="0083796B">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sz w:val="22"/>
          <w:szCs w:val="22"/>
        </w:rPr>
        <w:t>Trên cơ sở</w:t>
      </w:r>
      <w:r w:rsidR="0083110B" w:rsidRPr="007660C8">
        <w:rPr>
          <w:rFonts w:asciiTheme="minorHAnsi" w:hAnsiTheme="minorHAnsi" w:cstheme="minorHAnsi"/>
          <w:b/>
          <w:bCs/>
          <w:sz w:val="22"/>
          <w:szCs w:val="22"/>
        </w:rPr>
        <w:t xml:space="preserve"> </w:t>
      </w:r>
      <w:r w:rsidR="00CD31FD" w:rsidRPr="007660C8">
        <w:rPr>
          <w:rFonts w:asciiTheme="minorHAnsi" w:hAnsiTheme="minorHAnsi" w:cstheme="minorHAnsi"/>
          <w:b/>
          <w:sz w:val="22"/>
          <w:szCs w:val="22"/>
        </w:rPr>
        <w:t>Người được bảo hiểm</w:t>
      </w:r>
      <w:r w:rsidR="00CD31FD"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có tên trong Giấy chứng nhận bảo hiểm đã gởi Giấy yêu cầu bảo hiểm cho Công Ty Cổ phần </w:t>
      </w:r>
      <w:r w:rsidR="00123861" w:rsidRPr="007660C8">
        <w:rPr>
          <w:rFonts w:asciiTheme="minorHAnsi" w:hAnsiTheme="minorHAnsi" w:cstheme="minorHAnsi"/>
          <w:sz w:val="22"/>
          <w:szCs w:val="22"/>
        </w:rPr>
        <w:t>Bảo Hiểm AAA</w:t>
      </w:r>
      <w:r w:rsidRPr="007660C8">
        <w:rPr>
          <w:rFonts w:asciiTheme="minorHAnsi" w:hAnsiTheme="minorHAnsi" w:cstheme="minorHAnsi"/>
          <w:sz w:val="22"/>
          <w:szCs w:val="22"/>
        </w:rPr>
        <w:t xml:space="preserve"> (dưới đây viết tắt là </w:t>
      </w:r>
      <w:r w:rsidR="00123861" w:rsidRPr="007660C8">
        <w:rPr>
          <w:rFonts w:asciiTheme="minorHAnsi" w:hAnsiTheme="minorHAnsi" w:cstheme="minorHAnsi"/>
          <w:bCs/>
          <w:sz w:val="22"/>
          <w:szCs w:val="22"/>
        </w:rPr>
        <w:t>Bảo Hiểm AAA</w:t>
      </w:r>
      <w:r w:rsidRPr="007660C8">
        <w:rPr>
          <w:rFonts w:asciiTheme="minorHAnsi" w:hAnsiTheme="minorHAnsi" w:cstheme="minorHAnsi"/>
          <w:sz w:val="22"/>
          <w:szCs w:val="22"/>
        </w:rPr>
        <w:t>) cùng với các bản</w:t>
      </w:r>
      <w:r w:rsidR="00473655" w:rsidRPr="007660C8">
        <w:rPr>
          <w:rFonts w:asciiTheme="minorHAnsi" w:hAnsiTheme="minorHAnsi" w:cstheme="minorHAnsi"/>
          <w:sz w:val="22"/>
          <w:szCs w:val="22"/>
        </w:rPr>
        <w:t>g</w:t>
      </w:r>
      <w:r w:rsidRPr="007660C8">
        <w:rPr>
          <w:rFonts w:asciiTheme="minorHAnsi" w:hAnsiTheme="minorHAnsi" w:cstheme="minorHAnsi"/>
          <w:sz w:val="22"/>
          <w:szCs w:val="22"/>
        </w:rPr>
        <w:t xml:space="preserve"> kê khai đính kèm</w:t>
      </w:r>
      <w:r w:rsidR="00473655" w:rsidRPr="007660C8">
        <w:rPr>
          <w:rFonts w:asciiTheme="minorHAnsi" w:hAnsiTheme="minorHAnsi" w:cstheme="minorHAnsi"/>
          <w:sz w:val="22"/>
          <w:szCs w:val="22"/>
        </w:rPr>
        <w:t>,</w:t>
      </w:r>
      <w:r w:rsidRPr="007660C8">
        <w:rPr>
          <w:rFonts w:asciiTheme="minorHAnsi" w:hAnsiTheme="minorHAnsi" w:cstheme="minorHAnsi"/>
          <w:sz w:val="22"/>
          <w:szCs w:val="22"/>
        </w:rPr>
        <w:t xml:space="preserve"> được xem là một bộ phận không thể tách rời của </w:t>
      </w:r>
      <w:r w:rsidR="00B15CD4" w:rsidRPr="007660C8">
        <w:rPr>
          <w:rFonts w:asciiTheme="minorHAnsi" w:hAnsiTheme="minorHAnsi" w:cstheme="minorHAnsi"/>
          <w:sz w:val="22"/>
          <w:szCs w:val="22"/>
        </w:rPr>
        <w:t xml:space="preserve">Hợp đồng </w:t>
      </w:r>
      <w:r w:rsidRPr="007660C8">
        <w:rPr>
          <w:rFonts w:asciiTheme="minorHAnsi" w:hAnsiTheme="minorHAnsi" w:cstheme="minorHAnsi"/>
          <w:sz w:val="22"/>
          <w:szCs w:val="22"/>
        </w:rPr>
        <w:t>bảo hiểm</w:t>
      </w:r>
      <w:r w:rsidR="00B15CD4" w:rsidRPr="007660C8">
        <w:rPr>
          <w:rFonts w:asciiTheme="minorHAnsi" w:hAnsiTheme="minorHAnsi" w:cstheme="minorHAnsi"/>
          <w:sz w:val="22"/>
          <w:szCs w:val="22"/>
        </w:rPr>
        <w:t>.</w:t>
      </w:r>
      <w:r w:rsidRPr="007660C8">
        <w:rPr>
          <w:rFonts w:asciiTheme="minorHAnsi" w:hAnsiTheme="minorHAnsi" w:cstheme="minorHAnsi"/>
          <w:sz w:val="22"/>
          <w:szCs w:val="22"/>
        </w:rPr>
        <w:t xml:space="preserve"> </w:t>
      </w:r>
    </w:p>
    <w:p w:rsidR="00904139" w:rsidRPr="007660C8" w:rsidRDefault="00B15CD4"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sz w:val="22"/>
          <w:szCs w:val="22"/>
        </w:rPr>
        <w:t>Quy tắc</w:t>
      </w:r>
      <w:r w:rsidR="0083656E" w:rsidRPr="007660C8">
        <w:rPr>
          <w:rFonts w:asciiTheme="minorHAnsi" w:hAnsiTheme="minorHAnsi" w:cstheme="minorHAnsi"/>
          <w:b/>
          <w:bCs/>
          <w:sz w:val="22"/>
          <w:szCs w:val="22"/>
        </w:rPr>
        <w:t xml:space="preserve"> bảo hiểm này xác nhận </w:t>
      </w:r>
      <w:r w:rsidR="0083656E" w:rsidRPr="007660C8">
        <w:rPr>
          <w:rFonts w:asciiTheme="minorHAnsi" w:hAnsiTheme="minorHAnsi" w:cstheme="minorHAnsi"/>
          <w:sz w:val="22"/>
          <w:szCs w:val="22"/>
        </w:rPr>
        <w:t>với điều kiện là</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0083656E" w:rsidRPr="007660C8">
        <w:rPr>
          <w:rFonts w:asciiTheme="minorHAnsi" w:hAnsiTheme="minorHAnsi" w:cstheme="minorHAnsi"/>
          <w:sz w:val="22"/>
          <w:szCs w:val="22"/>
        </w:rPr>
        <w:t xml:space="preserve">đã nộp cho </w:t>
      </w:r>
      <w:r w:rsidR="00123861"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số</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 xml:space="preserve">phí bảo hiểm nêu trong bản Giấy chứng nhận bảo hiểm kèm theo, </w:t>
      </w:r>
      <w:r w:rsidR="00123861"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đồng ý với</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0083656E" w:rsidRPr="007660C8">
        <w:rPr>
          <w:rFonts w:asciiTheme="minorHAnsi" w:hAnsiTheme="minorHAnsi" w:cstheme="minorHAnsi"/>
          <w:sz w:val="22"/>
          <w:szCs w:val="22"/>
        </w:rPr>
        <w:t>rằng nếu bất kỳ</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lúc nào trong thời hạn bảo hiểm các hạng mục được bảo hiểm hay bất kỳ các bộ phận nào của các hạng mục được bảo hiểm bị tổn thất hay tổn hại vật chất bất ngờ, không lường trước được do bất kỳ một nguyên nhân nào không</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 xml:space="preserve">bị loại trừ trong </w:t>
      </w:r>
      <w:r w:rsidRPr="007660C8">
        <w:rPr>
          <w:rFonts w:asciiTheme="minorHAnsi" w:hAnsiTheme="minorHAnsi" w:cstheme="minorHAnsi"/>
          <w:sz w:val="22"/>
          <w:szCs w:val="22"/>
        </w:rPr>
        <w:t>Quy tắc</w:t>
      </w:r>
      <w:r w:rsidR="0083656E" w:rsidRPr="007660C8">
        <w:rPr>
          <w:rFonts w:asciiTheme="minorHAnsi" w:hAnsiTheme="minorHAnsi" w:cstheme="minorHAnsi"/>
          <w:sz w:val="22"/>
          <w:szCs w:val="22"/>
        </w:rPr>
        <w:t xml:space="preserve"> bảo hiểm này mà cần sửa chữa hoặc thay thế, thì</w:t>
      </w:r>
    </w:p>
    <w:p w:rsidR="00904139" w:rsidRPr="007660C8" w:rsidRDefault="00123861"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sẽ bồi thường cho</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0083656E" w:rsidRPr="007660C8">
        <w:rPr>
          <w:rFonts w:asciiTheme="minorHAnsi" w:hAnsiTheme="minorHAnsi" w:cstheme="minorHAnsi"/>
          <w:sz w:val="22"/>
          <w:szCs w:val="22"/>
        </w:rPr>
        <w:t>về các tổn thất hay tổn hại như được quy định sau đây bằng cách trả</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tiền, thay thế</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 xml:space="preserve">hay sửa chữa (theo lựa chọn của </w:t>
      </w:r>
      <w:r w:rsidRPr="007660C8">
        <w:rPr>
          <w:rFonts w:asciiTheme="minorHAnsi" w:hAnsiTheme="minorHAnsi" w:cstheme="minorHAnsi"/>
          <w:bCs/>
          <w:sz w:val="22"/>
          <w:szCs w:val="22"/>
        </w:rPr>
        <w:t>Bảo Hiểm</w:t>
      </w:r>
      <w:bookmarkStart w:id="0" w:name="_GoBack"/>
      <w:bookmarkEnd w:id="0"/>
      <w:r w:rsidRPr="007660C8">
        <w:rPr>
          <w:rFonts w:asciiTheme="minorHAnsi" w:hAnsiTheme="minorHAnsi" w:cstheme="minorHAnsi"/>
          <w:bCs/>
          <w:sz w:val="22"/>
          <w:szCs w:val="22"/>
        </w:rPr>
        <w:t xml:space="preserve"> AAA</w:t>
      </w:r>
      <w:r w:rsidR="0083656E" w:rsidRPr="007660C8">
        <w:rPr>
          <w:rFonts w:asciiTheme="minorHAnsi" w:hAnsiTheme="minorHAnsi" w:cstheme="minorHAnsi"/>
          <w:sz w:val="22"/>
          <w:szCs w:val="22"/>
        </w:rPr>
        <w:t>) cho tới số tiền không vượt quá số tiền bảo hiểm tương ứng của mỗi hạng mục trong bản</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kê khai bảo hiểm và tổng số tiền bồi thường không vượt quá tổng số tiền bảo hiểm.</w:t>
      </w:r>
    </w:p>
    <w:p w:rsidR="00904139" w:rsidRPr="007660C8" w:rsidRDefault="00B15CD4"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Quy tắc</w:t>
      </w:r>
      <w:r w:rsidR="0083656E" w:rsidRPr="007660C8">
        <w:rPr>
          <w:rFonts w:asciiTheme="minorHAnsi" w:hAnsiTheme="minorHAnsi" w:cstheme="minorHAnsi"/>
          <w:sz w:val="22"/>
          <w:szCs w:val="22"/>
        </w:rPr>
        <w:t xml:space="preserve"> bảo hiểm này áp dụng cho các thiết bị có tên trong danh mục được bảo hiểm cho dù các thiết bị này đang hoạt động hay không, đang được tháo dỡ để lau chùi bảo dưỡng, duy tu hoặc</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di chuyển trong khuôn viên được bảo hiểm hay đang trong quá trình thực hiện các công việc được nêu trên hoặc trong quá trình</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 xml:space="preserve">được lắp ráp trở lại sau đó, nhưng dù trong bất kỳ trường hợp nào thì </w:t>
      </w:r>
      <w:r w:rsidRPr="007660C8">
        <w:rPr>
          <w:rFonts w:asciiTheme="minorHAnsi" w:hAnsiTheme="minorHAnsi" w:cstheme="minorHAnsi"/>
          <w:sz w:val="22"/>
          <w:szCs w:val="22"/>
        </w:rPr>
        <w:t>Quy tắc</w:t>
      </w:r>
      <w:r w:rsidR="0083656E" w:rsidRPr="007660C8">
        <w:rPr>
          <w:rFonts w:asciiTheme="minorHAnsi" w:hAnsiTheme="minorHAnsi" w:cstheme="minorHAnsi"/>
          <w:sz w:val="22"/>
          <w:szCs w:val="22"/>
        </w:rPr>
        <w:t xml:space="preserve"> bảo hiểm này cũng chỉ áp dụng khi các thiết bị này đã hoàn tất và thành công quá trình chạy thử.</w:t>
      </w:r>
    </w:p>
    <w:p w:rsidR="00904139" w:rsidRPr="007660C8" w:rsidRDefault="0083656E"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Bảo hiểm này chỉ</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áp dụng đối với các hạng mục do</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cho thuê để Người thuê sử</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dụng trong mục đích thương mại, sản xuất hay dịch vụ</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trong phạm vi lãnh thổ</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nêu trong </w:t>
      </w:r>
      <w:r w:rsidR="00B15CD4" w:rsidRPr="007660C8">
        <w:rPr>
          <w:rFonts w:asciiTheme="minorHAnsi" w:hAnsiTheme="minorHAnsi" w:cstheme="minorHAnsi"/>
          <w:sz w:val="22"/>
          <w:szCs w:val="22"/>
        </w:rPr>
        <w:t xml:space="preserve">Hợp đồng </w:t>
      </w:r>
      <w:r w:rsidRPr="007660C8">
        <w:rPr>
          <w:rFonts w:asciiTheme="minorHAnsi" w:hAnsiTheme="minorHAnsi" w:cstheme="minorHAnsi"/>
          <w:sz w:val="22"/>
          <w:szCs w:val="22"/>
        </w:rPr>
        <w:t>bảo hiểm và theo chức năng của các hạng mục này nhưng loại trừ những hạng mục nào về sử dụng cho mục đích cá nhân hay không chuyên nghiệp.</w:t>
      </w:r>
    </w:p>
    <w:p w:rsidR="00904139" w:rsidRPr="007660C8" w:rsidRDefault="0083656E"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Các hạng mục không nêu trong Giấy chứng nhận bảo hiểm có thể</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được bảo hiểm theo </w:t>
      </w:r>
      <w:r w:rsidR="00B15CD4" w:rsidRPr="007660C8">
        <w:rPr>
          <w:rFonts w:asciiTheme="minorHAnsi" w:hAnsiTheme="minorHAnsi" w:cstheme="minorHAnsi"/>
          <w:sz w:val="22"/>
          <w:szCs w:val="22"/>
        </w:rPr>
        <w:t>Quy tắc</w:t>
      </w:r>
      <w:r w:rsidRPr="007660C8">
        <w:rPr>
          <w:rFonts w:asciiTheme="minorHAnsi" w:hAnsiTheme="minorHAnsi" w:cstheme="minorHAnsi"/>
          <w:sz w:val="22"/>
          <w:szCs w:val="22"/>
        </w:rPr>
        <w:t xml:space="preserve"> bảo hiểm này chỉ khi nào được sự đồng ý bằng văn bản của Người bảo hiểm.</w:t>
      </w:r>
    </w:p>
    <w:p w:rsidR="00904139" w:rsidRPr="007660C8" w:rsidRDefault="00904139" w:rsidP="007B115E">
      <w:pPr>
        <w:widowControl w:val="0"/>
        <w:autoSpaceDE w:val="0"/>
        <w:autoSpaceDN w:val="0"/>
        <w:adjustRightInd w:val="0"/>
        <w:spacing w:before="80"/>
        <w:jc w:val="both"/>
        <w:rPr>
          <w:rFonts w:asciiTheme="minorHAnsi" w:hAnsiTheme="minorHAnsi" w:cstheme="minorHAnsi"/>
          <w:b/>
          <w:bCs/>
          <w:sz w:val="22"/>
          <w:szCs w:val="22"/>
        </w:rPr>
      </w:pPr>
    </w:p>
    <w:p w:rsidR="00904139" w:rsidRPr="007660C8" w:rsidRDefault="0083656E"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sz w:val="22"/>
          <w:szCs w:val="22"/>
        </w:rPr>
        <w:t>CÁC ĐIỂM LOẠI TRỪ</w:t>
      </w:r>
    </w:p>
    <w:p w:rsidR="0083656E" w:rsidRPr="007660C8" w:rsidRDefault="00123861"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sẽ không chịu trách nhiệm đối với:</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 xml:space="preserve">mức khấu trừ </w:t>
      </w:r>
      <w:r w:rsidR="004A642F" w:rsidRPr="007660C8">
        <w:rPr>
          <w:rFonts w:asciiTheme="minorHAnsi" w:hAnsiTheme="minorHAnsi" w:cstheme="minorHAnsi"/>
          <w:sz w:val="22"/>
          <w:szCs w:val="22"/>
        </w:rPr>
        <w:t>quy</w:t>
      </w:r>
      <w:r w:rsidRPr="007660C8">
        <w:rPr>
          <w:rFonts w:asciiTheme="minorHAnsi" w:hAnsiTheme="minorHAnsi" w:cstheme="minorHAnsi"/>
          <w:sz w:val="22"/>
          <w:szCs w:val="22"/>
        </w:rPr>
        <w:t xml:space="preserve"> định trong Giấy chứng nhận bảo hiểm mà</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phải tự chịu trong mỗi một sự</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cố; tuy nhiên nếu trong một sự</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cố</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có hai hạng mục trở</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lên bị</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tổn thất thì</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chỉ chịu mức khấu trừ cao nhất trong số các mức khấu trừ áp dụng cho các hạng mục bị tổn thất đó;</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các hạng mục quá 5 tuổi tính từ ngày 31 tháng 12 của năm sản xuất .</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thất</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hay</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tổn</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hại</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của</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tàu</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thủy</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hay</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máy</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bay</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hay</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các</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trang</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thiết</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bị;</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xe</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cơ</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giới,</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các phương tiện được phép lưu hành trên đường công cộng; các thùng đựng (container); bất</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kỳ</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hạng mục nào sử</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dụng trong nhà máy nguyên tử</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hạt nhân hoặc các nhà máy, xưởng sản xuất khi</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lưu kho, chế</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tạo hoặc chế</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biến các nhiên liệu hạt nhân, chất thải hay các nguyên vật liệu phóng xạ khác</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 thất hay tổn hại của các bộ phận có thể thay thế được và các bộ phận gắn thêm như</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mũi khoan, dao, lưỡi cắt, lưỡi cưa, khuôn, mẫu, các bề</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mặt nghiền, màng và sàng, dây,</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đai, xích, kích nâng, băng chuyền, bình điện, lốp xe, dây điện và cáp nối, các ống, các khớp nối, bao bì, các dụng cụ có thể hoán đổi được hay bất kỳ chất liệu nào (ví dụ như dầu bôi trơn, nhiên liệu, các loại hóa chất);</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 thất hay tổn hại mà nhà sản xuất hay nhà cung cấp có trách nhiệm theo luật pháp hay theo hợp đồng;</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bất kỳ chi phí nào phát sinh liên quan đến việc sửa chữa các hỏng hóc trong các sai sót về</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chức năng hoạt động của các thiết bị</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điện tử trừ khi các sai sót chức năng này do một sự</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cố xác thực gây ra các tổn thất hoặc tổn hại được bồi thường cho các hạng mục được bảo hiểm;</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lastRenderedPageBreak/>
        <w:t>bất kỳ chi phí nào liên quan đến việc bảo dưỡng các hạng mục được bảo hiểm, bao gồm cả các chi phí thay thế các bộ phận chóng hao mòn, bộ phận điều khiển điện tử hoặc các bộ phận thường xuyên thay thế trong quá trình bảo dưỡng;</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 thất hay tổn hại do bất kỳ</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lỗi hay khuyết tật nào đã có vào lúc bắt đầu thời hạn bảo hiểm mà</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hay đại diện của họ đã biết cho dù</w:t>
      </w:r>
      <w:r w:rsidR="0083110B" w:rsidRPr="007660C8">
        <w:rPr>
          <w:rFonts w:asciiTheme="minorHAnsi" w:hAnsiTheme="minorHAnsi" w:cstheme="minorHAnsi"/>
          <w:b/>
          <w:sz w:val="22"/>
          <w:szCs w:val="22"/>
        </w:rPr>
        <w:t xml:space="preserve"> </w:t>
      </w:r>
      <w:r w:rsidR="00123861" w:rsidRPr="007660C8">
        <w:rPr>
          <w:rFonts w:asciiTheme="minorHAnsi" w:hAnsiTheme="minorHAnsi" w:cstheme="minorHAnsi"/>
          <w:sz w:val="22"/>
          <w:szCs w:val="22"/>
        </w:rPr>
        <w:t>Bảo Hiểm AAA</w:t>
      </w:r>
      <w:r w:rsidRPr="007660C8">
        <w:rPr>
          <w:rFonts w:asciiTheme="minorHAnsi" w:hAnsiTheme="minorHAnsi" w:cstheme="minorHAnsi"/>
          <w:sz w:val="22"/>
          <w:szCs w:val="22"/>
        </w:rPr>
        <w:t xml:space="preserve"> có biết các lỗi hay khuyết tật đó hay không;</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 thất hay tổn hại là hậu quả</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trực tiếp của các tác động liên tục trong quá trình hoạt động (ví dụ như hao mòn, ăn mòn, xét rỉ, hư hỏng do không sử dụng hay do điều kiện môi trường không khí tác động);</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 thất hay tổn hại chỉ</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phát hiện được vào lúc kiểm kê hay trong lúc làm dịch vụ</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bảo trì thông thường;</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 thất hay tổn hại trực tiếp hay gián tiếp gây bởi động đất, cuồng phong, xoáy lốc hoặc bão tố;</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 thất hay tổn hại trực tiếp hay gián tiếp gây ra bởi hay phát sinh từ hay làm trầm trọng thêm do hành động cố</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ý hay cố</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tình sơ</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xuất của</w:t>
      </w:r>
      <w:r w:rsidR="0083110B" w:rsidRPr="007660C8">
        <w:rPr>
          <w:rFonts w:asciiTheme="minorHAnsi" w:hAnsiTheme="minorHAnsi" w:cstheme="minorHAnsi"/>
          <w:b/>
          <w:sz w:val="22"/>
          <w:szCs w:val="22"/>
        </w:rPr>
        <w:t xml:space="preserve"> </w:t>
      </w:r>
      <w:r w:rsidR="00F16E41" w:rsidRPr="007660C8">
        <w:rPr>
          <w:rFonts w:asciiTheme="minorHAnsi" w:hAnsiTheme="minorHAnsi" w:cstheme="minorHAnsi"/>
          <w:sz w:val="22"/>
          <w:szCs w:val="22"/>
        </w:rPr>
        <w:t>Người được bảo hiểm</w:t>
      </w:r>
      <w:r w:rsidRPr="007660C8">
        <w:rPr>
          <w:rFonts w:asciiTheme="minorHAnsi" w:hAnsiTheme="minorHAnsi" w:cstheme="minorHAnsi"/>
          <w:sz w:val="22"/>
          <w:szCs w:val="22"/>
        </w:rPr>
        <w:t>, Người thuê máy hay đại diện của họ;</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 thất hay tổn hại trực tiếp hay gián tiếp gây ra bởi hay phát sinh từ hoặc bị trầm trọng thêm bởi chiến tranh, xâm lược, hành động thù địch của nước ngoài (dù có tuyên chiến hay không), nội chiến, bạo loạn, cách mạng, khởi nghiã, binh biến, nổi loạn, đình công, bãi công, bế</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xưởng, bạo động của quần chúng, hành động của thế</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lực quân sự</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hay tiếm quyền, hành động của nhóm người ác ý hoặc những người nhân danh hay có liên hệ</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với bất kỳ</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tổ</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chức chính trị</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nào, các âm mưu tịch thu hay phá hủy theo lệnh của nhà cầm quyền hợp pháp hoặc </w:t>
      </w:r>
      <w:r w:rsidR="008648E8" w:rsidRPr="007660C8">
        <w:rPr>
          <w:rFonts w:asciiTheme="minorHAnsi" w:hAnsiTheme="minorHAnsi" w:cstheme="minorHAnsi"/>
          <w:sz w:val="22"/>
          <w:szCs w:val="22"/>
        </w:rPr>
        <w:t>lâm thời</w:t>
      </w:r>
      <w:r w:rsidRPr="007660C8">
        <w:rPr>
          <w:rFonts w:asciiTheme="minorHAnsi" w:hAnsiTheme="minorHAnsi" w:cstheme="minorHAnsi"/>
          <w:sz w:val="22"/>
          <w:szCs w:val="22"/>
        </w:rPr>
        <w:t xml:space="preserve"> hoặc theo lệnh của bất kỳ nhà chức trách nào;</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tổn thất, tổn hại trực tiếp hay gián tiếp gây ra bởi hay phát sinh từ</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hay làm trầm trọng thêm do phản ứng hay phóng xạ hạt nhân hoặc nhiễm phóng xạ;</w:t>
      </w:r>
    </w:p>
    <w:p w:rsidR="00904139" w:rsidRPr="007660C8" w:rsidRDefault="0083656E" w:rsidP="007B115E">
      <w:pPr>
        <w:widowControl w:val="0"/>
        <w:numPr>
          <w:ilvl w:val="0"/>
          <w:numId w:val="2"/>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 xml:space="preserve">tổn thất hay trách nhiệm hậu quả dưới bất kỳ hình thức nào, bất kỳ khoản tiền nào ngoài hay vượt quá trách nhiệm bồi thường về tổn thất vật chất đã nêu trong </w:t>
      </w:r>
      <w:r w:rsidR="00B15CD4" w:rsidRPr="007660C8">
        <w:rPr>
          <w:rFonts w:asciiTheme="minorHAnsi" w:hAnsiTheme="minorHAnsi" w:cstheme="minorHAnsi"/>
          <w:sz w:val="22"/>
          <w:szCs w:val="22"/>
        </w:rPr>
        <w:t>Quy tắc</w:t>
      </w:r>
      <w:r w:rsidRPr="007660C8">
        <w:rPr>
          <w:rFonts w:asciiTheme="minorHAnsi" w:hAnsiTheme="minorHAnsi" w:cstheme="minorHAnsi"/>
          <w:sz w:val="22"/>
          <w:szCs w:val="22"/>
        </w:rPr>
        <w:t xml:space="preserve"> bảo hiểm.</w:t>
      </w:r>
    </w:p>
    <w:p w:rsidR="00904139" w:rsidRPr="007660C8" w:rsidRDefault="0083656E"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 xml:space="preserve">Trong các trường hợp kiện tụng mà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 xml:space="preserve">cho rằng những tổn thất, phá hủy hay tổn hại nào đó là không thuộc trách nhiệm của </w:t>
      </w:r>
      <w:r w:rsidR="00B15CD4" w:rsidRPr="007660C8">
        <w:rPr>
          <w:rFonts w:asciiTheme="minorHAnsi" w:hAnsiTheme="minorHAnsi" w:cstheme="minorHAnsi"/>
          <w:sz w:val="22"/>
          <w:szCs w:val="22"/>
        </w:rPr>
        <w:t>Quy tắc</w:t>
      </w:r>
      <w:r w:rsidRPr="007660C8">
        <w:rPr>
          <w:rFonts w:asciiTheme="minorHAnsi" w:hAnsiTheme="minorHAnsi" w:cstheme="minorHAnsi"/>
          <w:sz w:val="22"/>
          <w:szCs w:val="22"/>
        </w:rPr>
        <w:t xml:space="preserve"> bảo hiểm này do áp dụng điểm loại trừ</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11 hoặc 13 kể trên thì việc chứng minh rằng các tổn thất, phá hủy hay tổn hại đó phải được bồi thường theo </w:t>
      </w:r>
      <w:r w:rsidR="00B15CD4" w:rsidRPr="007660C8">
        <w:rPr>
          <w:rFonts w:asciiTheme="minorHAnsi" w:hAnsiTheme="minorHAnsi" w:cstheme="minorHAnsi"/>
          <w:sz w:val="22"/>
          <w:szCs w:val="22"/>
        </w:rPr>
        <w:t>Quy tắc</w:t>
      </w:r>
      <w:r w:rsidRPr="007660C8">
        <w:rPr>
          <w:rFonts w:asciiTheme="minorHAnsi" w:hAnsiTheme="minorHAnsi" w:cstheme="minorHAnsi"/>
          <w:sz w:val="22"/>
          <w:szCs w:val="22"/>
        </w:rPr>
        <w:t xml:space="preserve"> bảo hiểm này thuộc trách nhiệm của</w:t>
      </w:r>
      <w:r w:rsidR="0083110B" w:rsidRPr="007660C8">
        <w:rPr>
          <w:rFonts w:asciiTheme="minorHAnsi" w:hAnsiTheme="minorHAnsi" w:cstheme="minorHAnsi"/>
          <w:b/>
          <w:sz w:val="22"/>
          <w:szCs w:val="22"/>
        </w:rPr>
        <w:t xml:space="preserve"> </w:t>
      </w:r>
      <w:r w:rsidR="00F16E41" w:rsidRPr="007660C8">
        <w:rPr>
          <w:rFonts w:asciiTheme="minorHAnsi" w:hAnsiTheme="minorHAnsi" w:cstheme="minorHAnsi"/>
          <w:sz w:val="22"/>
          <w:szCs w:val="22"/>
        </w:rPr>
        <w:t>Người được bảo hiểm</w:t>
      </w:r>
      <w:r w:rsidRPr="007660C8">
        <w:rPr>
          <w:rFonts w:asciiTheme="minorHAnsi" w:hAnsiTheme="minorHAnsi" w:cstheme="minorHAnsi"/>
          <w:sz w:val="22"/>
          <w:szCs w:val="22"/>
        </w:rPr>
        <w:t>.</w:t>
      </w:r>
    </w:p>
    <w:p w:rsidR="009442E0" w:rsidRPr="007660C8" w:rsidRDefault="009442E0" w:rsidP="007B115E">
      <w:pPr>
        <w:widowControl w:val="0"/>
        <w:autoSpaceDE w:val="0"/>
        <w:autoSpaceDN w:val="0"/>
        <w:adjustRightInd w:val="0"/>
        <w:spacing w:before="80"/>
        <w:jc w:val="both"/>
        <w:rPr>
          <w:rFonts w:asciiTheme="minorHAnsi" w:hAnsiTheme="minorHAnsi" w:cstheme="minorHAnsi"/>
          <w:b/>
          <w:bCs/>
          <w:sz w:val="22"/>
          <w:szCs w:val="22"/>
        </w:rPr>
      </w:pP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sz w:val="22"/>
          <w:szCs w:val="22"/>
        </w:rPr>
        <w:t>CÁC ĐIỂM QUY ĐỊNH</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i/>
          <w:iCs/>
          <w:sz w:val="22"/>
          <w:szCs w:val="22"/>
        </w:rPr>
        <w:t>Điểm 1 - Số tiền bảo hiểm:</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 xml:space="preserve">Quy tắc bảo hiểm này đòi hỏi số tiền được bảo hiểm phải bằng số phí tổn để thay thế các hạng mục được bảo hiểm bằng các hạng mục mới có cùng tính năng, công suất và chủng loại, và trị giá thay thế cho những hạng mục này sẽ bao gồm cả cước phí vận chuyển, chi phí và thuế hải quan (nếu có), và các chi phí cho việc lắp đặt. Nếu số tiền bảo hiểm thấp hơn số tiền cần được bảo hiểm như yêu cầu trên thì số tiền bồi thường mà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trả cho</w:t>
      </w:r>
      <w:r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sẽ giảm đi theo tỷ lệ giữa số tiền bảo hiểm thực tế so với số tiền bảo hiểm lẽ ra phải được bảo hiểm theo yêu cầu như đã đề cập trên. Nếu có nhiều hạng mục trở lên được bảo hiểm thì điều kiện này cũng sẽ được áp dụng riêng rẽ cho từng hạng mục.</w:t>
      </w:r>
    </w:p>
    <w:p w:rsidR="009442E0" w:rsidRPr="007660C8" w:rsidRDefault="009442E0" w:rsidP="007B115E">
      <w:pPr>
        <w:widowControl w:val="0"/>
        <w:autoSpaceDE w:val="0"/>
        <w:autoSpaceDN w:val="0"/>
        <w:adjustRightInd w:val="0"/>
        <w:spacing w:before="80"/>
        <w:jc w:val="both"/>
        <w:rPr>
          <w:rFonts w:asciiTheme="minorHAnsi" w:hAnsiTheme="minorHAnsi" w:cstheme="minorHAnsi"/>
          <w:b/>
          <w:bCs/>
          <w:i/>
          <w:iCs/>
          <w:sz w:val="22"/>
          <w:szCs w:val="22"/>
        </w:rPr>
      </w:pP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i/>
          <w:iCs/>
          <w:sz w:val="22"/>
          <w:szCs w:val="22"/>
        </w:rPr>
        <w:t>Điểm 2 - Cơ sở giải quyết bồi thường:</w:t>
      </w:r>
    </w:p>
    <w:p w:rsidR="009442E0" w:rsidRPr="007660C8" w:rsidRDefault="009442E0" w:rsidP="007B115E">
      <w:pPr>
        <w:widowControl w:val="0"/>
        <w:numPr>
          <w:ilvl w:val="0"/>
          <w:numId w:val="8"/>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 xml:space="preserve">Trong trường hợp tổn hại xảy ra đối với một hạng mục bảo hiểm có thể sửa chữa được,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sẽ chỉ bồi thường những chi phí cần thiết để khôi phục lại các hạng mục bị tổn hại sao cho các hạng mục này đạt đến trạng thái hoạt động ban đầu như trước khi bị tổn hại cộng thêm chi phí đã bỏ ra cho việc tháo dỡ và lắp ráp lại nhằm phục vụ cho việc sửa chữa cũng như cước phí vận chuyển thông thường nhằm đưa các hạng mục đó đến xưởng sửa chữa và từ nơi sửa chữa trở về, các khoản chi phí, thuế hải quan và các chi phí khác (nếu có), với điều kiện là các khoản chi phí đó đã được bao gồm trong số tiền bảo hiểm.</w:t>
      </w:r>
    </w:p>
    <w:p w:rsidR="009442E0" w:rsidRPr="007660C8" w:rsidRDefault="009442E0" w:rsidP="007B115E">
      <w:pPr>
        <w:widowControl w:val="0"/>
        <w:autoSpaceDE w:val="0"/>
        <w:autoSpaceDN w:val="0"/>
        <w:adjustRightInd w:val="0"/>
        <w:spacing w:before="80"/>
        <w:ind w:left="426"/>
        <w:jc w:val="both"/>
        <w:rPr>
          <w:rFonts w:asciiTheme="minorHAnsi" w:hAnsiTheme="minorHAnsi" w:cstheme="minorHAnsi"/>
          <w:sz w:val="22"/>
          <w:szCs w:val="22"/>
        </w:rPr>
      </w:pPr>
      <w:r w:rsidRPr="007660C8">
        <w:rPr>
          <w:rFonts w:asciiTheme="minorHAnsi" w:hAnsiTheme="minorHAnsi" w:cstheme="minorHAnsi"/>
          <w:sz w:val="22"/>
          <w:szCs w:val="22"/>
        </w:rPr>
        <w:t>Nếu việc sửa chữa được tiến hành tại xưởng của</w:t>
      </w:r>
      <w:r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 xml:space="preserve">hoặc Người thuê,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 xml:space="preserve">sẽ thanh toán các chi phí về nguyên vật liệu và tiền công đã bỏ ra để tiến hành sửa chữa cộng thêm một tỷ lệ hợp lý để trang trải cho tổng phí. Không chiết khấu về mức khấu hao nào đối với các bộ </w:t>
      </w:r>
      <w:r w:rsidRPr="007660C8">
        <w:rPr>
          <w:rFonts w:asciiTheme="minorHAnsi" w:hAnsiTheme="minorHAnsi" w:cstheme="minorHAnsi"/>
          <w:sz w:val="22"/>
          <w:szCs w:val="22"/>
        </w:rPr>
        <w:lastRenderedPageBreak/>
        <w:t>phận được thay thế nhưng trị giá thu hồi được phải được áp dụng.</w:t>
      </w:r>
    </w:p>
    <w:p w:rsidR="009442E0" w:rsidRPr="007660C8" w:rsidRDefault="009442E0" w:rsidP="007B115E">
      <w:pPr>
        <w:widowControl w:val="0"/>
        <w:autoSpaceDE w:val="0"/>
        <w:autoSpaceDN w:val="0"/>
        <w:adjustRightInd w:val="0"/>
        <w:spacing w:before="80"/>
        <w:ind w:left="426"/>
        <w:jc w:val="both"/>
        <w:rPr>
          <w:rFonts w:asciiTheme="minorHAnsi" w:hAnsiTheme="minorHAnsi" w:cstheme="minorHAnsi"/>
          <w:sz w:val="22"/>
          <w:szCs w:val="22"/>
        </w:rPr>
      </w:pPr>
      <w:r w:rsidRPr="007660C8">
        <w:rPr>
          <w:rFonts w:asciiTheme="minorHAnsi" w:hAnsiTheme="minorHAnsi" w:cstheme="minorHAnsi"/>
          <w:sz w:val="22"/>
          <w:szCs w:val="22"/>
        </w:rPr>
        <w:t>Nếu chi phí sửa chưa như đề cập ở trên ngang bằng hoặc vượt trị giá thực tế của các hạng mục được bảo hiểm ngay trước khi xảy ra tổn thất thì việc giải quyết bồi thường sẽ theo cách thức như đề cập ở mục (b) dưới đây:</w:t>
      </w:r>
    </w:p>
    <w:p w:rsidR="009442E0" w:rsidRPr="007660C8" w:rsidRDefault="009442E0" w:rsidP="007B115E">
      <w:pPr>
        <w:widowControl w:val="0"/>
        <w:numPr>
          <w:ilvl w:val="0"/>
          <w:numId w:val="8"/>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 xml:space="preserve">Trong trường hợp một hạng mục được bảo hiểm nào đó bị phá hủy,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sẽ bồi thường trị giá thực tế của hạng mục đó ngay trước thời điểm xảy ra tổn thất, bao gồm cả cước phí vận chuyển thông thường, chi phí lắp ráp, các chi phí và thuế hải quan (nếu có), trong phạm vi các chi phí này đã bao gồm trong số tiền bảo hiểm, trị giá thực tế này sẽ được tính toán bằng cách lấy trị giá thay thế mới của hạng mục đó trừ đi một tỷ lệ khấu hao thích hợp. Trị giá thu hồi được áp dụng.</w:t>
      </w:r>
    </w:p>
    <w:p w:rsidR="009442E0" w:rsidRPr="007660C8" w:rsidRDefault="009442E0" w:rsidP="007B115E">
      <w:pPr>
        <w:widowControl w:val="0"/>
        <w:autoSpaceDE w:val="0"/>
        <w:autoSpaceDN w:val="0"/>
        <w:adjustRightInd w:val="0"/>
        <w:spacing w:before="80"/>
        <w:ind w:left="426"/>
        <w:jc w:val="both"/>
        <w:rPr>
          <w:rFonts w:asciiTheme="minorHAnsi" w:hAnsiTheme="minorHAnsi" w:cstheme="minorHAnsi"/>
          <w:sz w:val="22"/>
          <w:szCs w:val="22"/>
        </w:rPr>
      </w:pPr>
      <w:r w:rsidRPr="007660C8">
        <w:rPr>
          <w:rFonts w:asciiTheme="minorHAnsi" w:hAnsiTheme="minorHAnsi" w:cstheme="minorHAnsi"/>
          <w:sz w:val="22"/>
          <w:szCs w:val="22"/>
        </w:rPr>
        <w:t>Những phụ phí phát sinh cho việc làm thêm giờ, làm đêm, làm trong ngày lễ, ngày nghỉ hay cước phí hỏa tốc chỉ được bồi thường khi có thỏa thuận đặc biệt bằng văn bản.</w:t>
      </w:r>
    </w:p>
    <w:p w:rsidR="009442E0" w:rsidRPr="007660C8" w:rsidRDefault="009442E0" w:rsidP="007B115E">
      <w:pPr>
        <w:widowControl w:val="0"/>
        <w:autoSpaceDE w:val="0"/>
        <w:autoSpaceDN w:val="0"/>
        <w:adjustRightInd w:val="0"/>
        <w:spacing w:before="80"/>
        <w:ind w:left="426"/>
        <w:jc w:val="both"/>
        <w:rPr>
          <w:rFonts w:asciiTheme="minorHAnsi" w:hAnsiTheme="minorHAnsi" w:cstheme="minorHAnsi"/>
          <w:sz w:val="22"/>
          <w:szCs w:val="22"/>
        </w:rPr>
      </w:pPr>
      <w:r w:rsidRPr="007660C8">
        <w:rPr>
          <w:rFonts w:asciiTheme="minorHAnsi" w:hAnsiTheme="minorHAnsi" w:cstheme="minorHAnsi"/>
          <w:sz w:val="22"/>
          <w:szCs w:val="22"/>
        </w:rPr>
        <w:t>Các chi phí trong việc làm thay đổi, bổ sung, hoàn thiện hơn, duy tu, bảo dưỡng sẽ không được bảo hiểm theo Quy tắc bảo hiểm này.</w:t>
      </w:r>
    </w:p>
    <w:p w:rsidR="009442E0" w:rsidRPr="007660C8" w:rsidRDefault="009442E0" w:rsidP="007B115E">
      <w:pPr>
        <w:widowControl w:val="0"/>
        <w:autoSpaceDE w:val="0"/>
        <w:autoSpaceDN w:val="0"/>
        <w:adjustRightInd w:val="0"/>
        <w:spacing w:before="80"/>
        <w:ind w:left="426"/>
        <w:jc w:val="both"/>
        <w:rPr>
          <w:rFonts w:asciiTheme="minorHAnsi" w:hAnsiTheme="minorHAnsi" w:cstheme="minorHAnsi"/>
          <w:sz w:val="22"/>
          <w:szCs w:val="22"/>
        </w:rPr>
      </w:pPr>
      <w:r w:rsidRPr="007660C8">
        <w:rPr>
          <w:rFonts w:asciiTheme="minorHAnsi" w:hAnsiTheme="minorHAnsi" w:cstheme="minorHAnsi"/>
          <w:sz w:val="22"/>
          <w:szCs w:val="22"/>
        </w:rPr>
        <w:t xml:space="preserve">Các chi phí cho việc sửa chữa tạm thời sẽ do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chịu nếu những công việc này là một phần cấu thành trong công việc sửa chữa chính và không làm tăng tổng chi phí sửa chữa.</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 xml:space="preserve">Tổng mức trách nhiệm bồi thường của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trong trường hợp tổn thất thuộc phạm vi bảo hiểm không vượt quá mức trách nhiệm nêu trong Hợp đồng bảo hiểm.</w:t>
      </w:r>
    </w:p>
    <w:p w:rsidR="009442E0" w:rsidRPr="007660C8" w:rsidRDefault="00123861"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Cs/>
          <w:sz w:val="22"/>
          <w:szCs w:val="22"/>
        </w:rPr>
        <w:t>Bảo Hiểm AAA</w:t>
      </w:r>
      <w:r w:rsidR="009442E0" w:rsidRPr="007660C8">
        <w:rPr>
          <w:rFonts w:asciiTheme="minorHAnsi" w:hAnsiTheme="minorHAnsi" w:cstheme="minorHAnsi"/>
          <w:b/>
          <w:bCs/>
          <w:sz w:val="22"/>
          <w:szCs w:val="22"/>
        </w:rPr>
        <w:t xml:space="preserve"> </w:t>
      </w:r>
      <w:r w:rsidR="009442E0" w:rsidRPr="007660C8">
        <w:rPr>
          <w:rFonts w:asciiTheme="minorHAnsi" w:hAnsiTheme="minorHAnsi" w:cstheme="minorHAnsi"/>
          <w:sz w:val="22"/>
          <w:szCs w:val="22"/>
        </w:rPr>
        <w:t>sẽ chỉ thanh toán bồi thường khi đã được cung cấp đầy đủ các chứng từ</w:t>
      </w:r>
      <w:r w:rsidR="009442E0" w:rsidRPr="007660C8">
        <w:rPr>
          <w:rFonts w:asciiTheme="minorHAnsi" w:hAnsiTheme="minorHAnsi" w:cstheme="minorHAnsi"/>
          <w:b/>
          <w:sz w:val="22"/>
          <w:szCs w:val="22"/>
        </w:rPr>
        <w:t xml:space="preserve"> </w:t>
      </w:r>
      <w:r w:rsidR="009442E0" w:rsidRPr="007660C8">
        <w:rPr>
          <w:rFonts w:asciiTheme="minorHAnsi" w:hAnsiTheme="minorHAnsi" w:cstheme="minorHAnsi"/>
          <w:sz w:val="22"/>
          <w:szCs w:val="22"/>
        </w:rPr>
        <w:t>cần thiết để chứng minh các tổn hại đã được sửa chữa, thay thế, tùy theo từng trường hợp cụ thể.</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i/>
          <w:iCs/>
          <w:sz w:val="22"/>
          <w:szCs w:val="22"/>
        </w:rPr>
        <w:t>Điểm 3 – Thời hạn bảo hiểm:</w:t>
      </w:r>
    </w:p>
    <w:p w:rsidR="009442E0" w:rsidRPr="007660C8" w:rsidRDefault="009442E0" w:rsidP="007B115E">
      <w:pPr>
        <w:widowControl w:val="0"/>
        <w:numPr>
          <w:ilvl w:val="0"/>
          <w:numId w:val="9"/>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Hợp đồng bảo hiểm bao (áp dụng điều kiện khai báo mở) này sẽ có hiệu lực cho thời hạn 12 tháng kể từ ngày nêu trong Giấy chứng nhận bảo hiểm và sẽ tự động được tái tục trừ khi có văn bản yêu cầu hủy bỏ được một bên thông báo ít nhất 3 tháng trước thời điểm tái tục.</w:t>
      </w:r>
    </w:p>
    <w:p w:rsidR="009442E0" w:rsidRPr="007660C8" w:rsidRDefault="009442E0" w:rsidP="007B115E">
      <w:pPr>
        <w:widowControl w:val="0"/>
        <w:numPr>
          <w:ilvl w:val="0"/>
          <w:numId w:val="9"/>
        </w:numPr>
        <w:tabs>
          <w:tab w:val="clear" w:pos="72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Thời hạn bảo hiểm cho bất kỳ hạng mục nào được nêu trong bản kê khai sẽ được bắt đầu trong thời hạn bảo hiểm hiện hữu của Hợp đồng bảo hiểm, nhưng không dưới 30 ngày trước ngày khai báo và sẽ được tiếp tục, theo điểm loại trừ 2, cho thời hạn bảo hiểm đầu tiên không vượt quá 1 năm và bất kỳ thời hạn tái tục nào hoặc thời hạn tự động mở rộng hiệu lực bảo hiểm trong mỗi trường hợp không vượt quá 1 năm cho tới khi kết thúc hiệu lực tối đa là 5 năm, nhưng không vượt quá ngày kết thúc thời hạn của hợp đồng thuê đối với hạng mục được khai báo và với điều kiện là không có thông báo hủy từ bất kỳ một bên nào trong vòng ít nhất 3 tháng trước thời điểm tái tục bảo hiểm nêu trong bản kê khai. Nếu Hợp đồng bảo hiểm bao này bị hủy bỏ, thời hạn bảo hiểm đối với mỗi bản kê khai sẽ tiếp tục cho tới khi kết thúc thời hạn tiếp theo của từng hạng mục riêng lẻ,</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i/>
          <w:iCs/>
          <w:sz w:val="22"/>
          <w:szCs w:val="22"/>
        </w:rPr>
        <w:t>Điểm 4 – Hủy bỏ bảo hiểm trong trường hợp có tổn thất:</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 xml:space="preserve">Khi xảy ra sự cố tổn thất hoặc tổn hại được bảo hiểm theo Quy tắc bảo hiểm này,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có thể hủy bỏ bảo hiểm đối với các hạng mục bị tổn hại bằng thông báo trước 14 ngày.</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i/>
          <w:iCs/>
          <w:sz w:val="22"/>
          <w:szCs w:val="22"/>
        </w:rPr>
        <w:t>Điểm 5 – Phí đặt cọc và phí điều chỉnh:</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Vào thời điểm bắt đầu hiệu lực hay tái tục của Hợp đồng bảo hiểm,</w:t>
      </w:r>
      <w:r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phải trả khoản phí bảo hiểm theo năm tối thiểu nêu trong Giấy chứng nhận bảo hiểm Hợp đồng bảo hiểm. Vào cuối mỗi năm bảo hiểm,</w:t>
      </w:r>
      <w:r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sẽ phải trả một khoản phí bổ sung vượt quá mức phí tối thiểu quy định cho các hạng mục được bổ sung vào bản kê khai mới và có hiệu lực bảo hiểm trong thời hạn trước cũng như tái tục hiệu lực bảo hiểm cho các hạng mục có trong các bản kê khai trước. Đối với hạng mục nào bị hủy bỏ hiệu lực bảo hiểm khi có tổn thất xảy ra như đã nêu trong điểm 4 của Quy tắc bảo hiểm, phí bảo hiểm tương ứng tính theo tỷ lệ thuận đối với thời hạn bảo hiểm tính từ thời điểm hủy bỏ bảo hiểm cho tới thời điểm kết thúc hiệu lực bảo hiểm áp dụng cho bản kê khai tương ứng sẽ được trừ vào phí bảo hiểm bổ sung, nhưng không vượt quá khoản phí bảo hiểm bổ sung chính thức mà không bị áp dụng khoản trừ này cho việc hủy bỏ hiệu lực bảo hiểm.</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i/>
          <w:iCs/>
          <w:sz w:val="22"/>
          <w:szCs w:val="22"/>
        </w:rPr>
        <w:t>Điểm 6 – Khai báo:</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Đối với các hạng mục cho thuê trong phạm vi lãnh thổ nêu trong Hợp đồng bảo hiểm và có thể được bảo hiểm theo các điều kiện của Quy tắc bảo hiểm này,</w:t>
      </w:r>
      <w:r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sẽ phải khai báo những thông tin sau đây:</w:t>
      </w:r>
    </w:p>
    <w:p w:rsidR="009442E0" w:rsidRPr="007660C8" w:rsidRDefault="009442E0" w:rsidP="007B115E">
      <w:pPr>
        <w:widowControl w:val="0"/>
        <w:numPr>
          <w:ilvl w:val="1"/>
          <w:numId w:val="6"/>
        </w:numPr>
        <w:tabs>
          <w:tab w:val="clear" w:pos="144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lastRenderedPageBreak/>
        <w:t>Tên, địa chỉ và nghề nghiệp của Người thuê</w:t>
      </w:r>
    </w:p>
    <w:p w:rsidR="009442E0" w:rsidRPr="007660C8" w:rsidRDefault="009442E0" w:rsidP="007B115E">
      <w:pPr>
        <w:widowControl w:val="0"/>
        <w:numPr>
          <w:ilvl w:val="1"/>
          <w:numId w:val="6"/>
        </w:numPr>
        <w:tabs>
          <w:tab w:val="clear" w:pos="144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Khuôn viên đặt các hạng mục tham gia bảo hiểm c.</w:t>
      </w:r>
      <w:r w:rsidRPr="007660C8">
        <w:rPr>
          <w:rFonts w:asciiTheme="minorHAnsi" w:hAnsiTheme="minorHAnsi" w:cstheme="minorHAnsi"/>
          <w:b/>
          <w:sz w:val="22"/>
          <w:szCs w:val="22"/>
        </w:rPr>
        <w:t xml:space="preserve"> </w:t>
      </w:r>
      <w:r w:rsidRPr="007660C8">
        <w:rPr>
          <w:rFonts w:asciiTheme="minorHAnsi" w:hAnsiTheme="minorHAnsi" w:cstheme="minorHAnsi"/>
          <w:sz w:val="22"/>
          <w:szCs w:val="22"/>
        </w:rPr>
        <w:t>Thời hạn của hợp đồng cho thuê</w:t>
      </w:r>
    </w:p>
    <w:p w:rsidR="009442E0" w:rsidRPr="007660C8" w:rsidRDefault="009442E0" w:rsidP="007B115E">
      <w:pPr>
        <w:widowControl w:val="0"/>
        <w:numPr>
          <w:ilvl w:val="1"/>
          <w:numId w:val="6"/>
        </w:numPr>
        <w:tabs>
          <w:tab w:val="clear" w:pos="144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Miêu tả các hạng mục được thuê (tên nhà chế tạo, năm sản xuất, loại, chức năng, nhãn hiệu, các rủi ro thường gặp đối với loại máy này)</w:t>
      </w:r>
    </w:p>
    <w:p w:rsidR="009442E0" w:rsidRPr="007660C8" w:rsidRDefault="009442E0" w:rsidP="007B115E">
      <w:pPr>
        <w:widowControl w:val="0"/>
        <w:numPr>
          <w:ilvl w:val="1"/>
          <w:numId w:val="6"/>
        </w:numPr>
        <w:tabs>
          <w:tab w:val="clear" w:pos="144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Số tiền bảo hiểm của các hạng mục theo Điểm 1 của Quy tắc bảo hiểm này</w:t>
      </w:r>
    </w:p>
    <w:p w:rsidR="009442E0" w:rsidRPr="007660C8" w:rsidRDefault="009442E0" w:rsidP="007B115E">
      <w:pPr>
        <w:widowControl w:val="0"/>
        <w:numPr>
          <w:ilvl w:val="1"/>
          <w:numId w:val="6"/>
        </w:numPr>
        <w:tabs>
          <w:tab w:val="clear" w:pos="1440"/>
          <w:tab w:val="num" w:pos="426"/>
          <w:tab w:val="left" w:pos="460"/>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Ngày bắt đầu hiệu lực bảo hiểm và ngày kết thúc hiệu lực bảo hiểm gần nhất của một hạng mục theo điểm 3b của Quy tắc bảo hiểm này</w:t>
      </w:r>
    </w:p>
    <w:p w:rsidR="009442E0" w:rsidRPr="007660C8" w:rsidRDefault="009442E0" w:rsidP="007B115E">
      <w:pPr>
        <w:widowControl w:val="0"/>
        <w:numPr>
          <w:ilvl w:val="1"/>
          <w:numId w:val="6"/>
        </w:numPr>
        <w:tabs>
          <w:tab w:val="clear" w:pos="144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 xml:space="preserve">Tất cả các điều khoản sửa đổi bổ sung được áp dụng; bất kỳ phạm vi mở rộng nào được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đang áp dụng</w:t>
      </w:r>
    </w:p>
    <w:p w:rsidR="009442E0" w:rsidRPr="007660C8" w:rsidRDefault="009442E0" w:rsidP="007B115E">
      <w:pPr>
        <w:widowControl w:val="0"/>
        <w:numPr>
          <w:ilvl w:val="1"/>
          <w:numId w:val="6"/>
        </w:numPr>
        <w:tabs>
          <w:tab w:val="clear" w:pos="1440"/>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Tất cả các thông tin này sẽ được cập nhật liên tục khi được yêu cầu, yêu cầu tối thiểu là bắt buộc phải có vào những kỳ tái tục.</w:t>
      </w:r>
    </w:p>
    <w:p w:rsidR="009442E0" w:rsidRPr="007660C8" w:rsidRDefault="009442E0"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i/>
          <w:iCs/>
          <w:sz w:val="22"/>
          <w:szCs w:val="22"/>
        </w:rPr>
        <w:t>Điểm 7 – Các thiết bị phòng cháy chữa cháy:</w:t>
      </w:r>
    </w:p>
    <w:p w:rsidR="00904139" w:rsidRPr="007660C8" w:rsidRDefault="009442E0" w:rsidP="007B115E">
      <w:pPr>
        <w:widowControl w:val="0"/>
        <w:autoSpaceDE w:val="0"/>
        <w:autoSpaceDN w:val="0"/>
        <w:adjustRightInd w:val="0"/>
        <w:spacing w:before="80"/>
        <w:jc w:val="both"/>
        <w:rPr>
          <w:rFonts w:asciiTheme="minorHAnsi" w:hAnsiTheme="minorHAnsi" w:cstheme="minorHAnsi"/>
          <w:b/>
          <w:bCs/>
          <w:sz w:val="22"/>
          <w:szCs w:val="22"/>
        </w:rPr>
      </w:pPr>
      <w:r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sẽ phải yêu cầu Người thuê phải luôn luôn trang bị các thiết bị an toàn tiêu chuẩn và luôn luôn đặt ở khu vực thích hợp và ở tư thế sẵn sàng chữa cháy, bố trí đủ người thích hợp có đầy đủ kiến thức sử dụng các trang thiết bị phòng cháy chữa cháy, cần phải thực hiện những biện pháp thích hợp để giảm thiểu tổn thất do hỏa hoạn, như cách sử dụng, sắp xếp các loại chất khí, lỏng dễ cháy, có quy định nghiêm ngặt trong việc cấm hút thuốc và các quy trình sử dụng nhiệt độ cao. Nếu có chứng cứ về những sai sót nào của</w:t>
      </w:r>
      <w:r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mà có thể gây ra những nguy cơ rủi ro hỏa hoạn lớn, số tiền bồi thường sẽ bị giảm đi tương ứng.</w:t>
      </w:r>
    </w:p>
    <w:p w:rsidR="009442E0" w:rsidRPr="007660C8" w:rsidRDefault="009442E0" w:rsidP="007B115E">
      <w:pPr>
        <w:widowControl w:val="0"/>
        <w:autoSpaceDE w:val="0"/>
        <w:autoSpaceDN w:val="0"/>
        <w:adjustRightInd w:val="0"/>
        <w:spacing w:before="80"/>
        <w:jc w:val="both"/>
        <w:rPr>
          <w:rFonts w:asciiTheme="minorHAnsi" w:hAnsiTheme="minorHAnsi" w:cstheme="minorHAnsi"/>
          <w:b/>
          <w:bCs/>
          <w:sz w:val="22"/>
          <w:szCs w:val="22"/>
        </w:rPr>
      </w:pPr>
    </w:p>
    <w:p w:rsidR="00904139" w:rsidRPr="007660C8" w:rsidRDefault="0083656E" w:rsidP="007B115E">
      <w:pPr>
        <w:widowControl w:val="0"/>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b/>
          <w:bCs/>
          <w:sz w:val="22"/>
          <w:szCs w:val="22"/>
        </w:rPr>
        <w:t>CÁC ĐIỀU KIỆN CHUNG</w:t>
      </w:r>
    </w:p>
    <w:p w:rsidR="00904139" w:rsidRPr="007660C8" w:rsidRDefault="0083656E"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Điều</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kiện tiên quyết để</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ràng buộc trách nhiệm của </w:t>
      </w:r>
      <w:r w:rsidR="00123861" w:rsidRPr="007660C8">
        <w:rPr>
          <w:rFonts w:asciiTheme="minorHAnsi" w:hAnsiTheme="minorHAnsi" w:cstheme="minorHAnsi"/>
          <w:bCs/>
          <w:sz w:val="22"/>
          <w:szCs w:val="22"/>
        </w:rPr>
        <w:t>Bảo Hiểm AAA</w:t>
      </w:r>
      <w:r w:rsidR="00904139"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là</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phải tôn trọng và thực hiện đầy đủ</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các quy định ghi trong </w:t>
      </w:r>
      <w:r w:rsidR="00B15CD4" w:rsidRPr="007660C8">
        <w:rPr>
          <w:rFonts w:asciiTheme="minorHAnsi" w:hAnsiTheme="minorHAnsi" w:cstheme="minorHAnsi"/>
          <w:sz w:val="22"/>
          <w:szCs w:val="22"/>
        </w:rPr>
        <w:t>Quy tắc</w:t>
      </w:r>
      <w:r w:rsidRPr="007660C8">
        <w:rPr>
          <w:rFonts w:asciiTheme="minorHAnsi" w:hAnsiTheme="minorHAnsi" w:cstheme="minorHAnsi"/>
          <w:sz w:val="22"/>
          <w:szCs w:val="22"/>
        </w:rPr>
        <w:t xml:space="preserve"> bảo hiểm này, trung thực khai báo và trả lời các câu hỏi.</w:t>
      </w:r>
    </w:p>
    <w:p w:rsidR="00904139" w:rsidRPr="007660C8" w:rsidRDefault="0083656E"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Giấy chứng nhận bảo hiểm và các Bản</w:t>
      </w:r>
      <w:r w:rsidR="008648E8" w:rsidRPr="007660C8">
        <w:rPr>
          <w:rFonts w:asciiTheme="minorHAnsi" w:hAnsiTheme="minorHAnsi" w:cstheme="minorHAnsi"/>
          <w:sz w:val="22"/>
          <w:szCs w:val="22"/>
        </w:rPr>
        <w:t>g</w:t>
      </w:r>
      <w:r w:rsidRPr="007660C8">
        <w:rPr>
          <w:rFonts w:asciiTheme="minorHAnsi" w:hAnsiTheme="minorHAnsi" w:cstheme="minorHAnsi"/>
          <w:sz w:val="22"/>
          <w:szCs w:val="22"/>
        </w:rPr>
        <w:t xml:space="preserve"> kê khai được xem là bộ phận không thể tách rời và</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là bộ phận hợp thành của </w:t>
      </w:r>
      <w:r w:rsidR="00B15CD4" w:rsidRPr="007660C8">
        <w:rPr>
          <w:rFonts w:asciiTheme="minorHAnsi" w:hAnsiTheme="minorHAnsi" w:cstheme="minorHAnsi"/>
          <w:sz w:val="22"/>
          <w:szCs w:val="22"/>
        </w:rPr>
        <w:t xml:space="preserve">Hợp đồng </w:t>
      </w:r>
      <w:r w:rsidRPr="007660C8">
        <w:rPr>
          <w:rFonts w:asciiTheme="minorHAnsi" w:hAnsiTheme="minorHAnsi" w:cstheme="minorHAnsi"/>
          <w:sz w:val="22"/>
          <w:szCs w:val="22"/>
        </w:rPr>
        <w:t>bảo hiểm này, và cụm từ “</w:t>
      </w:r>
      <w:r w:rsidR="00B15CD4" w:rsidRPr="007660C8">
        <w:rPr>
          <w:rFonts w:asciiTheme="minorHAnsi" w:hAnsiTheme="minorHAnsi" w:cstheme="minorHAnsi"/>
          <w:sz w:val="22"/>
          <w:szCs w:val="22"/>
        </w:rPr>
        <w:t xml:space="preserve">Hợp đồng </w:t>
      </w:r>
      <w:r w:rsidRPr="007660C8">
        <w:rPr>
          <w:rFonts w:asciiTheme="minorHAnsi" w:hAnsiTheme="minorHAnsi" w:cstheme="minorHAnsi"/>
          <w:sz w:val="22"/>
          <w:szCs w:val="22"/>
        </w:rPr>
        <w:t>bảo hiểm” bất kỳ lúc nào</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được sử dụng trong hợp đồng bảo hiểm này sẽ được hiểu là bao gồm Giấy chứng nhận bảo</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hiểm và các Bản</w:t>
      </w:r>
      <w:r w:rsidR="00884F9E" w:rsidRPr="007660C8">
        <w:rPr>
          <w:rFonts w:asciiTheme="minorHAnsi" w:hAnsiTheme="minorHAnsi" w:cstheme="minorHAnsi"/>
          <w:sz w:val="22"/>
          <w:szCs w:val="22"/>
        </w:rPr>
        <w:t>g</w:t>
      </w:r>
      <w:r w:rsidRPr="007660C8">
        <w:rPr>
          <w:rFonts w:asciiTheme="minorHAnsi" w:hAnsiTheme="minorHAnsi" w:cstheme="minorHAnsi"/>
          <w:sz w:val="22"/>
          <w:szCs w:val="22"/>
        </w:rPr>
        <w:t xml:space="preserve"> kê khai đó. Bất kỳ một từ hoặc các cụm từ đã mang một nghĩa xác định nào đó tại bất kỳ một phần nào trong </w:t>
      </w:r>
      <w:r w:rsidR="008648E8" w:rsidRPr="007660C8">
        <w:rPr>
          <w:rFonts w:asciiTheme="minorHAnsi" w:hAnsiTheme="minorHAnsi" w:cstheme="minorHAnsi"/>
          <w:sz w:val="22"/>
          <w:szCs w:val="22"/>
        </w:rPr>
        <w:t>Quy tắc</w:t>
      </w:r>
      <w:r w:rsidR="00B15CD4" w:rsidRPr="007660C8">
        <w:rPr>
          <w:rFonts w:asciiTheme="minorHAnsi" w:hAnsiTheme="minorHAnsi" w:cstheme="minorHAnsi"/>
          <w:sz w:val="22"/>
          <w:szCs w:val="22"/>
        </w:rPr>
        <w:t xml:space="preserve"> </w:t>
      </w:r>
      <w:r w:rsidRPr="007660C8">
        <w:rPr>
          <w:rFonts w:asciiTheme="minorHAnsi" w:hAnsiTheme="minorHAnsi" w:cstheme="minorHAnsi"/>
          <w:sz w:val="22"/>
          <w:szCs w:val="22"/>
        </w:rPr>
        <w:t>bảo hiểm này, thì dù xuất hiện bất kỳ ở đâu thì</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từ hoặc cụm từ đó cũng mang cùng một ý nghĩa như vậy.</w:t>
      </w:r>
    </w:p>
    <w:p w:rsidR="00904139" w:rsidRPr="007660C8" w:rsidRDefault="0083656E"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Bằng chi phí riêng của mình,</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 xml:space="preserve">phải thực hiện mọi biện pháp hợp lý và tuân theo mọi kiến nghị hợp lý của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hoặc Người cho thuê nhằm ngăn chặn tổn thất và phải tuân thủ mọi quy định pháp luật và khuyến nghị của nhà chế tạo.</w:t>
      </w:r>
    </w:p>
    <w:p w:rsidR="00904139" w:rsidRPr="007660C8" w:rsidRDefault="0083656E" w:rsidP="007B115E">
      <w:pPr>
        <w:widowControl w:val="0"/>
        <w:numPr>
          <w:ilvl w:val="0"/>
          <w:numId w:val="4"/>
        </w:numPr>
        <w:tabs>
          <w:tab w:val="clear" w:pos="735"/>
          <w:tab w:val="left" w:pos="426"/>
          <w:tab w:val="num" w:pos="709"/>
        </w:tabs>
        <w:autoSpaceDE w:val="0"/>
        <w:autoSpaceDN w:val="0"/>
        <w:adjustRightInd w:val="0"/>
        <w:spacing w:before="80"/>
        <w:ind w:left="709" w:hanging="709"/>
        <w:jc w:val="both"/>
        <w:rPr>
          <w:rFonts w:asciiTheme="minorHAnsi" w:hAnsiTheme="minorHAnsi" w:cstheme="minorHAnsi"/>
          <w:sz w:val="22"/>
          <w:szCs w:val="22"/>
        </w:rPr>
      </w:pPr>
      <w:r w:rsidRPr="007660C8">
        <w:rPr>
          <w:rFonts w:asciiTheme="minorHAnsi" w:hAnsiTheme="minorHAnsi" w:cstheme="minorHAnsi"/>
          <w:sz w:val="22"/>
          <w:szCs w:val="22"/>
        </w:rPr>
        <w:t xml:space="preserve">a) </w:t>
      </w:r>
      <w:r w:rsidR="00904139" w:rsidRPr="007660C8">
        <w:rPr>
          <w:rFonts w:asciiTheme="minorHAnsi" w:hAnsiTheme="minorHAnsi" w:cstheme="minorHAnsi"/>
          <w:sz w:val="22"/>
          <w:szCs w:val="22"/>
        </w:rPr>
        <w:tab/>
      </w:r>
      <w:r w:rsidRPr="007660C8">
        <w:rPr>
          <w:rFonts w:asciiTheme="minorHAnsi" w:hAnsiTheme="minorHAnsi" w:cstheme="minorHAnsi"/>
          <w:sz w:val="22"/>
          <w:szCs w:val="22"/>
        </w:rPr>
        <w:t xml:space="preserve">Vào bất kỳ thời gian hợp lý nào, đại diện của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cũng có quyền xem xét và kiểm tra đối tượng được bảo hiểm và</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 xml:space="preserve">phải cung cấp cho đại diện của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mọi chi tiết, thông tin cần thiết để đánh giá mức độ rủi ro được bảo hiểm.</w:t>
      </w:r>
    </w:p>
    <w:p w:rsidR="00904139" w:rsidRPr="007660C8" w:rsidRDefault="0083656E" w:rsidP="007B115E">
      <w:pPr>
        <w:widowControl w:val="0"/>
        <w:autoSpaceDE w:val="0"/>
        <w:autoSpaceDN w:val="0"/>
        <w:adjustRightInd w:val="0"/>
        <w:spacing w:before="80"/>
        <w:ind w:left="709" w:hanging="283"/>
        <w:jc w:val="both"/>
        <w:rPr>
          <w:rFonts w:asciiTheme="minorHAnsi" w:hAnsiTheme="minorHAnsi" w:cstheme="minorHAnsi"/>
          <w:sz w:val="22"/>
          <w:szCs w:val="22"/>
        </w:rPr>
      </w:pPr>
      <w:r w:rsidRPr="007660C8">
        <w:rPr>
          <w:rFonts w:asciiTheme="minorHAnsi" w:hAnsiTheme="minorHAnsi" w:cstheme="minorHAnsi"/>
          <w:sz w:val="22"/>
          <w:szCs w:val="22"/>
        </w:rPr>
        <w:t>b)</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 xml:space="preserve">phải lập tức thông báo cho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bằng văn bản về bất kỳ thay đổi quan trọng nào về</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mức độ</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rủi ro của đối tượng được bảo hiểm và bằng chi phí riêng của mình thực hiện những biện pháp mà tình thế</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đòi hỏi để</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đảm bảo an toàn cho quá trình hoạt động của các hạng mục thiết bị được bảo hiểm, và phạm vi bảo hiểm cũng như phí bảo hiểm sẽ được điều chỉnh thích hợp nếu thấy cần thiết.</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không được thực hiện hoặc chấp nhận những thay đổi quan trọng nào làm tăng thêm mức</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độ</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rủi ro trừ</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khi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 xml:space="preserve">đã có văn bản xác nhận </w:t>
      </w:r>
      <w:r w:rsidR="0062368D" w:rsidRPr="007660C8">
        <w:rPr>
          <w:rFonts w:asciiTheme="minorHAnsi" w:hAnsiTheme="minorHAnsi" w:cstheme="minorHAnsi"/>
          <w:sz w:val="22"/>
          <w:szCs w:val="22"/>
        </w:rPr>
        <w:t xml:space="preserve">Hợp đồng </w:t>
      </w:r>
      <w:r w:rsidRPr="007660C8">
        <w:rPr>
          <w:rFonts w:asciiTheme="minorHAnsi" w:hAnsiTheme="minorHAnsi" w:cstheme="minorHAnsi"/>
          <w:sz w:val="22"/>
          <w:szCs w:val="22"/>
        </w:rPr>
        <w:t>bảo hiểm vẫn tiếp tục có hiệu lực trong các trường hợp đó.</w:t>
      </w:r>
    </w:p>
    <w:p w:rsidR="00904139" w:rsidRPr="007660C8" w:rsidRDefault="0083656E"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Trong trường hợp xảy ra sự</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cố</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có thể</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dẫn đến việc bồi thường theo </w:t>
      </w:r>
      <w:r w:rsidR="0062368D" w:rsidRPr="007660C8">
        <w:rPr>
          <w:rFonts w:asciiTheme="minorHAnsi" w:hAnsiTheme="minorHAnsi" w:cstheme="minorHAnsi"/>
          <w:sz w:val="22"/>
          <w:szCs w:val="22"/>
        </w:rPr>
        <w:t>Quy tắc</w:t>
      </w:r>
      <w:r w:rsidRPr="007660C8">
        <w:rPr>
          <w:rFonts w:asciiTheme="minorHAnsi" w:hAnsiTheme="minorHAnsi" w:cstheme="minorHAnsi"/>
          <w:sz w:val="22"/>
          <w:szCs w:val="22"/>
        </w:rPr>
        <w:t xml:space="preserve"> bảo hiểm này,</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phải:</w:t>
      </w:r>
    </w:p>
    <w:p w:rsidR="00904139" w:rsidRPr="007660C8" w:rsidRDefault="0083656E" w:rsidP="007B115E">
      <w:pPr>
        <w:widowControl w:val="0"/>
        <w:numPr>
          <w:ilvl w:val="0"/>
          <w:numId w:val="5"/>
        </w:numPr>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 xml:space="preserve">lập tức thông báo ngay cho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và bằng văn bản nêu rõ tính chất và mức độ</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tổn thất;</w:t>
      </w:r>
    </w:p>
    <w:p w:rsidR="00904139" w:rsidRPr="007660C8" w:rsidRDefault="0083656E" w:rsidP="007B115E">
      <w:pPr>
        <w:widowControl w:val="0"/>
        <w:numPr>
          <w:ilvl w:val="0"/>
          <w:numId w:val="5"/>
        </w:numPr>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thực hiện mọi biện pháp phù hợp với khả năng của mình để hạn chế tổn thất ở mức thấp nhất;</w:t>
      </w:r>
    </w:p>
    <w:p w:rsidR="00904139" w:rsidRPr="007660C8" w:rsidRDefault="0083656E" w:rsidP="007B115E">
      <w:pPr>
        <w:widowControl w:val="0"/>
        <w:numPr>
          <w:ilvl w:val="0"/>
          <w:numId w:val="5"/>
        </w:numPr>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bảo quản các chi tiết hay bộ phận bị</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hư hại và sẵn sàng để cho đại diện hay giám định viên của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giám định các chi tiết hay bộ phận đó;</w:t>
      </w:r>
    </w:p>
    <w:p w:rsidR="00904139" w:rsidRPr="007660C8" w:rsidRDefault="0083656E" w:rsidP="007B115E">
      <w:pPr>
        <w:widowControl w:val="0"/>
        <w:numPr>
          <w:ilvl w:val="0"/>
          <w:numId w:val="5"/>
        </w:numPr>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lastRenderedPageBreak/>
        <w:t xml:space="preserve">cung cấp mọi thông tin và chứng từ văn bản theo yêu cầu của </w:t>
      </w:r>
      <w:r w:rsidR="00123861" w:rsidRPr="007660C8">
        <w:rPr>
          <w:rFonts w:asciiTheme="minorHAnsi" w:hAnsiTheme="minorHAnsi" w:cstheme="minorHAnsi"/>
          <w:bCs/>
          <w:sz w:val="22"/>
          <w:szCs w:val="22"/>
        </w:rPr>
        <w:t>Bảo Hiểm AAA</w:t>
      </w:r>
      <w:r w:rsidRPr="007660C8">
        <w:rPr>
          <w:rFonts w:asciiTheme="minorHAnsi" w:hAnsiTheme="minorHAnsi" w:cstheme="minorHAnsi"/>
          <w:sz w:val="22"/>
          <w:szCs w:val="22"/>
        </w:rPr>
        <w:t>;</w:t>
      </w:r>
    </w:p>
    <w:p w:rsidR="0083656E" w:rsidRPr="007660C8" w:rsidRDefault="0083656E" w:rsidP="007B115E">
      <w:pPr>
        <w:widowControl w:val="0"/>
        <w:autoSpaceDE w:val="0"/>
        <w:autoSpaceDN w:val="0"/>
        <w:adjustRightInd w:val="0"/>
        <w:spacing w:before="80"/>
        <w:ind w:left="360"/>
        <w:jc w:val="both"/>
        <w:rPr>
          <w:rFonts w:asciiTheme="minorHAnsi" w:hAnsiTheme="minorHAnsi" w:cstheme="minorHAnsi"/>
          <w:sz w:val="22"/>
          <w:szCs w:val="22"/>
        </w:rPr>
      </w:pPr>
      <w:r w:rsidRPr="007660C8">
        <w:rPr>
          <w:rFonts w:asciiTheme="minorHAnsi" w:hAnsiTheme="minorHAnsi" w:cstheme="minorHAnsi"/>
          <w:sz w:val="22"/>
          <w:szCs w:val="22"/>
        </w:rPr>
        <w:t xml:space="preserve">Trong mọi trường hợp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sẽ</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không chịu trách nhiệm đối với những tổn thất hay tổn hại mà trong vòng 30 ngày kể</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từ</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khi xảy ra tổn thất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không nhận được thông báo về</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những tổn thất đó. Ngay sau khi thông báo cho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theo điều kiện này,</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hoặc Người thuê có thể tiến hành sửa chữa hay thay thế</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các hư</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hỏng nhỏ, còn trong mọi trường hợp khác, nhất thiết phải có đại diện của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 xml:space="preserve">để giám định tổn thất trước khi thực hiện việc sửa chữa thay thế. Nếu đại diện của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không tiến hành giám định trong một thời gian được xem là hợp lý xét theo tình hình thực tế</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thì</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có quyền xúc tiến việc sửa chữa hay thay thế.</w:t>
      </w:r>
    </w:p>
    <w:p w:rsidR="00904139" w:rsidRPr="007660C8" w:rsidRDefault="0083656E" w:rsidP="007B115E">
      <w:pPr>
        <w:widowControl w:val="0"/>
        <w:autoSpaceDE w:val="0"/>
        <w:autoSpaceDN w:val="0"/>
        <w:adjustRightInd w:val="0"/>
        <w:spacing w:before="80"/>
        <w:ind w:left="360"/>
        <w:jc w:val="both"/>
        <w:rPr>
          <w:rFonts w:asciiTheme="minorHAnsi" w:hAnsiTheme="minorHAnsi" w:cstheme="minorHAnsi"/>
          <w:sz w:val="22"/>
          <w:szCs w:val="22"/>
        </w:rPr>
      </w:pPr>
      <w:r w:rsidRPr="007660C8">
        <w:rPr>
          <w:rFonts w:asciiTheme="minorHAnsi" w:hAnsiTheme="minorHAnsi" w:cstheme="minorHAnsi"/>
          <w:sz w:val="22"/>
          <w:szCs w:val="22"/>
        </w:rPr>
        <w:t xml:space="preserve">Trách nhiệm của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đối với bất kỳ hạng mục bị</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tổn thất nào thuộc đối tượng bảo hiểm sẽ</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chấm dứt nếu hạng mục đó vẫn được sử</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dụng sau khi khiếu nại mà không được sửa chữa như yêu cầu của</w:t>
      </w:r>
      <w:r w:rsidR="00904139" w:rsidRPr="007660C8">
        <w:rPr>
          <w:rFonts w:asciiTheme="minorHAnsi" w:hAnsiTheme="minorHAnsi" w:cstheme="minorHAnsi"/>
          <w:sz w:val="22"/>
          <w:szCs w:val="22"/>
        </w:rPr>
        <w:t xml:space="preserve">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 xml:space="preserve">hoặc nếu chỉ được sửa chữa tạm thời mà không được sự đồng ý của </w:t>
      </w:r>
      <w:r w:rsidR="00123861" w:rsidRPr="007660C8">
        <w:rPr>
          <w:rFonts w:asciiTheme="minorHAnsi" w:hAnsiTheme="minorHAnsi" w:cstheme="minorHAnsi"/>
          <w:bCs/>
          <w:sz w:val="22"/>
          <w:szCs w:val="22"/>
        </w:rPr>
        <w:t>Bảo Hiểm AAA</w:t>
      </w:r>
      <w:r w:rsidRPr="007660C8">
        <w:rPr>
          <w:rFonts w:asciiTheme="minorHAnsi" w:hAnsiTheme="minorHAnsi" w:cstheme="minorHAnsi"/>
          <w:sz w:val="22"/>
          <w:szCs w:val="22"/>
        </w:rPr>
        <w:t>.</w:t>
      </w:r>
    </w:p>
    <w:p w:rsidR="00904139" w:rsidRPr="007660C8" w:rsidRDefault="00F16E41"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0083656E" w:rsidRPr="007660C8">
        <w:rPr>
          <w:rFonts w:asciiTheme="minorHAnsi" w:hAnsiTheme="minorHAnsi" w:cstheme="minorHAnsi"/>
          <w:sz w:val="22"/>
          <w:szCs w:val="22"/>
        </w:rPr>
        <w:t xml:space="preserve">và Người thuê với chi phí do </w:t>
      </w:r>
      <w:r w:rsidR="00123861"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 xml:space="preserve">chịu, phải thực hiện, kết hợp thực hiện và cho phép thực hiện mọi hành động và mọi công việc xét thấy cần thiết hay theo yêu cầu của </w:t>
      </w:r>
      <w:r w:rsidR="00123861"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nhằm bảo vệ quyền lợi hay quyền miễn trách hay đòi bồi thường</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Người</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Thứ</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Ba</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(khác</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với</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0083656E" w:rsidRPr="007660C8">
        <w:rPr>
          <w:rFonts w:asciiTheme="minorHAnsi" w:hAnsiTheme="minorHAnsi" w:cstheme="minorHAnsi"/>
          <w:sz w:val="22"/>
          <w:szCs w:val="22"/>
        </w:rPr>
        <w:t>theo</w:t>
      </w:r>
      <w:r w:rsidR="00904139" w:rsidRPr="007660C8">
        <w:rPr>
          <w:rFonts w:asciiTheme="minorHAnsi" w:hAnsiTheme="minorHAnsi" w:cstheme="minorHAnsi"/>
          <w:sz w:val="22"/>
          <w:szCs w:val="22"/>
        </w:rPr>
        <w:t xml:space="preserve"> </w:t>
      </w:r>
      <w:r w:rsidR="0062368D" w:rsidRPr="007660C8">
        <w:rPr>
          <w:rFonts w:asciiTheme="minorHAnsi" w:hAnsiTheme="minorHAnsi" w:cstheme="minorHAnsi"/>
          <w:sz w:val="22"/>
          <w:szCs w:val="22"/>
        </w:rPr>
        <w:t xml:space="preserve">Hợp đồng </w:t>
      </w:r>
      <w:r w:rsidR="0083656E" w:rsidRPr="007660C8">
        <w:rPr>
          <w:rFonts w:asciiTheme="minorHAnsi" w:hAnsiTheme="minorHAnsi" w:cstheme="minorHAnsi"/>
          <w:sz w:val="22"/>
          <w:szCs w:val="22"/>
        </w:rPr>
        <w:t>bảo</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hiểm),</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 xml:space="preserve">những khoản tiền mà </w:t>
      </w:r>
      <w:r w:rsidR="00123861"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sẽ</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được hay có thể</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được hưởng hoặc được thế</w:t>
      </w:r>
      <w:r w:rsidR="00904139" w:rsidRPr="007660C8">
        <w:rPr>
          <w:rFonts w:asciiTheme="minorHAnsi" w:hAnsiTheme="minorHAnsi" w:cstheme="minorHAnsi"/>
          <w:sz w:val="22"/>
          <w:szCs w:val="22"/>
        </w:rPr>
        <w:t xml:space="preserve"> </w:t>
      </w:r>
      <w:r w:rsidR="0083656E" w:rsidRPr="007660C8">
        <w:rPr>
          <w:rFonts w:asciiTheme="minorHAnsi" w:hAnsiTheme="minorHAnsi" w:cstheme="minorHAnsi"/>
          <w:sz w:val="22"/>
          <w:szCs w:val="22"/>
        </w:rPr>
        <w:t xml:space="preserve">quyền sau khi đã thanh toán hay bồi thường tổn thất theo </w:t>
      </w:r>
      <w:r w:rsidR="0062368D" w:rsidRPr="007660C8">
        <w:rPr>
          <w:rFonts w:asciiTheme="minorHAnsi" w:hAnsiTheme="minorHAnsi" w:cstheme="minorHAnsi"/>
          <w:sz w:val="22"/>
          <w:szCs w:val="22"/>
        </w:rPr>
        <w:t xml:space="preserve">Hợp đồng </w:t>
      </w:r>
      <w:r w:rsidR="0083656E" w:rsidRPr="007660C8">
        <w:rPr>
          <w:rFonts w:asciiTheme="minorHAnsi" w:hAnsiTheme="minorHAnsi" w:cstheme="minorHAnsi"/>
          <w:sz w:val="22"/>
          <w:szCs w:val="22"/>
        </w:rPr>
        <w:t xml:space="preserve">bảo hiểm, dù cho hành động hay những việc như vậy cần phải làm hoặc phải thực hiện trước hay sau khi </w:t>
      </w:r>
      <w:r w:rsidR="00123861"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bồi thường cho</w:t>
      </w:r>
      <w:r w:rsidR="0083110B" w:rsidRPr="007660C8">
        <w:rPr>
          <w:rFonts w:asciiTheme="minorHAnsi" w:hAnsiTheme="minorHAnsi" w:cstheme="minorHAnsi"/>
          <w:b/>
          <w:sz w:val="22"/>
          <w:szCs w:val="22"/>
        </w:rPr>
        <w:t xml:space="preserve"> </w:t>
      </w:r>
      <w:r w:rsidRPr="007660C8">
        <w:rPr>
          <w:rFonts w:asciiTheme="minorHAnsi" w:hAnsiTheme="minorHAnsi" w:cstheme="minorHAnsi"/>
          <w:sz w:val="22"/>
          <w:szCs w:val="22"/>
        </w:rPr>
        <w:t>Người được bảo hiểm</w:t>
      </w:r>
      <w:r w:rsidR="0083656E" w:rsidRPr="007660C8">
        <w:rPr>
          <w:rFonts w:asciiTheme="minorHAnsi" w:hAnsiTheme="minorHAnsi" w:cstheme="minorHAnsi"/>
          <w:sz w:val="22"/>
          <w:szCs w:val="22"/>
        </w:rPr>
        <w:t>.</w:t>
      </w:r>
    </w:p>
    <w:p w:rsidR="00904139" w:rsidRPr="007660C8" w:rsidRDefault="0083656E"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 xml:space="preserve">Trong trường hợp có bất kỳ tranh chấp nào giữa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và</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 xml:space="preserve">về số tiền được bồi thường theo </w:t>
      </w:r>
      <w:r w:rsidR="0062368D" w:rsidRPr="007660C8">
        <w:rPr>
          <w:rFonts w:asciiTheme="minorHAnsi" w:hAnsiTheme="minorHAnsi" w:cstheme="minorHAnsi"/>
          <w:sz w:val="22"/>
          <w:szCs w:val="22"/>
        </w:rPr>
        <w:t>Quy tắc</w:t>
      </w:r>
      <w:r w:rsidRPr="007660C8">
        <w:rPr>
          <w:rFonts w:asciiTheme="minorHAnsi" w:hAnsiTheme="minorHAnsi" w:cstheme="minorHAnsi"/>
          <w:sz w:val="22"/>
          <w:szCs w:val="22"/>
        </w:rPr>
        <w:t xml:space="preserve"> bảo hiểm này trước hết sẽ được giải quyết trên cơ sở</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thương lượng. Nếu hai</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bên không giải quyết được bằng thương lượng, tranh chấp đó sẽ được giải quyết tại Tòa án theo quy định của Pháp luật Việt nam.</w:t>
      </w:r>
    </w:p>
    <w:p w:rsidR="00904139" w:rsidRPr="007660C8" w:rsidRDefault="00123861"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có quyền giữ lại số tiền bồi thường trong trường hợp:</w:t>
      </w:r>
    </w:p>
    <w:p w:rsidR="00904139" w:rsidRPr="007660C8" w:rsidRDefault="0083656E" w:rsidP="007B115E">
      <w:pPr>
        <w:widowControl w:val="0"/>
        <w:numPr>
          <w:ilvl w:val="0"/>
          <w:numId w:val="6"/>
        </w:numPr>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có sự nghi ngờ về quyền được nhận bồi thường của</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cho đến khi</w:t>
      </w:r>
      <w:r w:rsidR="00904139" w:rsidRPr="007660C8">
        <w:rPr>
          <w:rFonts w:asciiTheme="minorHAnsi" w:hAnsiTheme="minorHAnsi" w:cstheme="minorHAnsi"/>
          <w:sz w:val="22"/>
          <w:szCs w:val="22"/>
        </w:rPr>
        <w:t xml:space="preserve">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nhận được các bằng chứng cần thiết;</w:t>
      </w:r>
    </w:p>
    <w:p w:rsidR="00904139" w:rsidRPr="007660C8" w:rsidRDefault="0083656E" w:rsidP="007B115E">
      <w:pPr>
        <w:widowControl w:val="0"/>
        <w:numPr>
          <w:ilvl w:val="0"/>
          <w:numId w:val="6"/>
        </w:numPr>
        <w:autoSpaceDE w:val="0"/>
        <w:autoSpaceDN w:val="0"/>
        <w:adjustRightInd w:val="0"/>
        <w:spacing w:before="80"/>
        <w:jc w:val="both"/>
        <w:rPr>
          <w:rFonts w:asciiTheme="minorHAnsi" w:hAnsiTheme="minorHAnsi" w:cstheme="minorHAnsi"/>
          <w:sz w:val="22"/>
          <w:szCs w:val="22"/>
        </w:rPr>
      </w:pPr>
      <w:r w:rsidRPr="007660C8">
        <w:rPr>
          <w:rFonts w:asciiTheme="minorHAnsi" w:hAnsiTheme="minorHAnsi" w:cstheme="minorHAnsi"/>
          <w:sz w:val="22"/>
          <w:szCs w:val="22"/>
        </w:rPr>
        <w:t>đang có vụ điều tra của cảnh sát hoặc điều tra theo Luật hình sự đối với</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hoặc Người</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thuê liên quan đến khiếu nại</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đòi</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bồi</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thường bảo hiểm cho đến khi công việc điều tra này kết thúc.</w:t>
      </w:r>
    </w:p>
    <w:p w:rsidR="00904139" w:rsidRPr="007660C8" w:rsidRDefault="0083656E"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Nếu những thông tin đề cập trong Giấy yêu cầu bảo hiểm hoặc những khai báo của</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không đúng sự</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thật về</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mọi sự</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kiện quan trọng nào hoặc nếu</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đưa ra bất kỳ khiếu nại đòi bồi thường gian lận nào hoặc mức độ khiếu nại bị thổi phồng lên quá mức hoặc nếu có sự khai báo sai lệch nào nhằm bảo vệ cho những khiếu nại</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đó thì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sẽ không chịu trách nhiệm chi trả bất kỳ khoản bồi thường nào theo</w:t>
      </w:r>
      <w:r w:rsidR="00904139" w:rsidRPr="007660C8">
        <w:rPr>
          <w:rFonts w:asciiTheme="minorHAnsi" w:hAnsiTheme="minorHAnsi" w:cstheme="minorHAnsi"/>
          <w:sz w:val="22"/>
          <w:szCs w:val="22"/>
        </w:rPr>
        <w:t xml:space="preserve"> </w:t>
      </w:r>
      <w:r w:rsidR="0062368D" w:rsidRPr="007660C8">
        <w:rPr>
          <w:rFonts w:asciiTheme="minorHAnsi" w:hAnsiTheme="minorHAnsi" w:cstheme="minorHAnsi"/>
          <w:sz w:val="22"/>
          <w:szCs w:val="22"/>
        </w:rPr>
        <w:t>Quy tắc</w:t>
      </w:r>
      <w:r w:rsidRPr="007660C8">
        <w:rPr>
          <w:rFonts w:asciiTheme="minorHAnsi" w:hAnsiTheme="minorHAnsi" w:cstheme="minorHAnsi"/>
          <w:sz w:val="22"/>
          <w:szCs w:val="22"/>
        </w:rPr>
        <w:t xml:space="preserve"> bảo hiểm này.</w:t>
      </w:r>
    </w:p>
    <w:p w:rsidR="00904139" w:rsidRPr="007660C8" w:rsidRDefault="0083656E"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Nếu vào thời điểm phát sinh bất kỳ</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khiếu nại nào mà có bất kỳ</w:t>
      </w:r>
      <w:r w:rsidR="00904139" w:rsidRPr="007660C8">
        <w:rPr>
          <w:rFonts w:asciiTheme="minorHAnsi" w:hAnsiTheme="minorHAnsi" w:cstheme="minorHAnsi"/>
          <w:sz w:val="22"/>
          <w:szCs w:val="22"/>
        </w:rPr>
        <w:t xml:space="preserve"> </w:t>
      </w:r>
      <w:r w:rsidR="0062368D" w:rsidRPr="007660C8">
        <w:rPr>
          <w:rFonts w:asciiTheme="minorHAnsi" w:hAnsiTheme="minorHAnsi" w:cstheme="minorHAnsi"/>
          <w:sz w:val="22"/>
          <w:szCs w:val="22"/>
        </w:rPr>
        <w:t xml:space="preserve">Hợp đồng </w:t>
      </w:r>
      <w:r w:rsidRPr="007660C8">
        <w:rPr>
          <w:rFonts w:asciiTheme="minorHAnsi" w:hAnsiTheme="minorHAnsi" w:cstheme="minorHAnsi"/>
          <w:sz w:val="22"/>
          <w:szCs w:val="22"/>
        </w:rPr>
        <w:t xml:space="preserve">bảo hiểm nào khác cũng bảo hiểm cho những tổn thất hay tổn hại đó thì số tiền bồi thường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 xml:space="preserve">có thể phải chi trả cho tổn thất đó sẽ không vượt quá phần tỷ lệ của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đối với khiếu nại về tổn thất hay tổn hại đó.</w:t>
      </w:r>
    </w:p>
    <w:p w:rsidR="00904139" w:rsidRPr="007660C8" w:rsidRDefault="0083656E"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sz w:val="22"/>
          <w:szCs w:val="22"/>
        </w:rPr>
        <w:t>Hiệu lực bảo hiểm theo bất kỳ</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bản kê khai nào có thể</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chấm dứt theo yêu cầu của</w:t>
      </w:r>
      <w:r w:rsidR="0083110B" w:rsidRPr="007660C8">
        <w:rPr>
          <w:rFonts w:asciiTheme="minorHAnsi" w:hAnsiTheme="minorHAnsi" w:cstheme="minorHAnsi"/>
          <w:b/>
          <w:sz w:val="22"/>
          <w:szCs w:val="22"/>
        </w:rPr>
        <w:t xml:space="preserve"> </w:t>
      </w:r>
      <w:r w:rsidR="00CD31FD" w:rsidRPr="007660C8">
        <w:rPr>
          <w:rFonts w:asciiTheme="minorHAnsi" w:hAnsiTheme="minorHAnsi" w:cstheme="minorHAnsi"/>
          <w:sz w:val="22"/>
          <w:szCs w:val="22"/>
        </w:rPr>
        <w:t xml:space="preserve">Người được bảo hiểm </w:t>
      </w:r>
      <w:r w:rsidRPr="007660C8">
        <w:rPr>
          <w:rFonts w:asciiTheme="minorHAnsi" w:hAnsiTheme="minorHAnsi" w:cstheme="minorHAnsi"/>
          <w:sz w:val="22"/>
          <w:szCs w:val="22"/>
        </w:rPr>
        <w:t xml:space="preserve">vào mọi thời điểm và trong các trường hợp như vậy </w:t>
      </w:r>
      <w:r w:rsidR="00123861" w:rsidRPr="007660C8">
        <w:rPr>
          <w:rFonts w:asciiTheme="minorHAnsi" w:hAnsiTheme="minorHAnsi" w:cstheme="minorHAnsi"/>
          <w:bCs/>
          <w:sz w:val="22"/>
          <w:szCs w:val="22"/>
        </w:rPr>
        <w:t>Bảo Hiểm AAA</w:t>
      </w:r>
      <w:r w:rsidRPr="007660C8">
        <w:rPr>
          <w:rFonts w:asciiTheme="minorHAnsi" w:hAnsiTheme="minorHAnsi" w:cstheme="minorHAnsi"/>
          <w:b/>
          <w:bCs/>
          <w:sz w:val="22"/>
          <w:szCs w:val="22"/>
        </w:rPr>
        <w:t xml:space="preserve"> </w:t>
      </w:r>
      <w:r w:rsidRPr="007660C8">
        <w:rPr>
          <w:rFonts w:asciiTheme="minorHAnsi" w:hAnsiTheme="minorHAnsi" w:cstheme="minorHAnsi"/>
          <w:sz w:val="22"/>
          <w:szCs w:val="22"/>
        </w:rPr>
        <w:t>sẽ giữ</w:t>
      </w:r>
      <w:r w:rsidR="00904139" w:rsidRPr="007660C8">
        <w:rPr>
          <w:rFonts w:asciiTheme="minorHAnsi" w:hAnsiTheme="minorHAnsi" w:cstheme="minorHAnsi"/>
          <w:sz w:val="22"/>
          <w:szCs w:val="22"/>
        </w:rPr>
        <w:t xml:space="preserve"> </w:t>
      </w:r>
      <w:r w:rsidRPr="007660C8">
        <w:rPr>
          <w:rFonts w:asciiTheme="minorHAnsi" w:hAnsiTheme="minorHAnsi" w:cstheme="minorHAnsi"/>
          <w:sz w:val="22"/>
          <w:szCs w:val="22"/>
        </w:rPr>
        <w:t xml:space="preserve">lại phần phí bảo hiểm được tính theo biểu phí ngắn hạn ứng với thời gian </w:t>
      </w:r>
      <w:r w:rsidR="0062368D" w:rsidRPr="007660C8">
        <w:rPr>
          <w:rFonts w:asciiTheme="minorHAnsi" w:hAnsiTheme="minorHAnsi" w:cstheme="minorHAnsi"/>
          <w:sz w:val="22"/>
          <w:szCs w:val="22"/>
        </w:rPr>
        <w:t xml:space="preserve">Hợp đồng </w:t>
      </w:r>
      <w:r w:rsidRPr="007660C8">
        <w:rPr>
          <w:rFonts w:asciiTheme="minorHAnsi" w:hAnsiTheme="minorHAnsi" w:cstheme="minorHAnsi"/>
          <w:sz w:val="22"/>
          <w:szCs w:val="22"/>
        </w:rPr>
        <w:t>bảo hiểm có hiệu lực.</w:t>
      </w:r>
    </w:p>
    <w:p w:rsidR="00904139" w:rsidRPr="007660C8" w:rsidRDefault="00123861" w:rsidP="007B115E">
      <w:pPr>
        <w:widowControl w:val="0"/>
        <w:numPr>
          <w:ilvl w:val="0"/>
          <w:numId w:val="4"/>
        </w:numPr>
        <w:tabs>
          <w:tab w:val="clear" w:pos="735"/>
          <w:tab w:val="num" w:pos="426"/>
        </w:tabs>
        <w:autoSpaceDE w:val="0"/>
        <w:autoSpaceDN w:val="0"/>
        <w:adjustRightInd w:val="0"/>
        <w:spacing w:before="80"/>
        <w:ind w:left="426" w:hanging="426"/>
        <w:jc w:val="both"/>
        <w:rPr>
          <w:rFonts w:asciiTheme="minorHAnsi" w:hAnsiTheme="minorHAnsi" w:cstheme="minorHAnsi"/>
          <w:sz w:val="22"/>
          <w:szCs w:val="22"/>
        </w:rPr>
      </w:pPr>
      <w:r w:rsidRPr="007660C8">
        <w:rPr>
          <w:rFonts w:asciiTheme="minorHAnsi" w:hAnsiTheme="minorHAnsi" w:cstheme="minorHAnsi"/>
          <w:bCs/>
          <w:sz w:val="22"/>
          <w:szCs w:val="22"/>
        </w:rPr>
        <w:t>Bảo Hiểm AAA</w:t>
      </w:r>
      <w:r w:rsidR="0083656E" w:rsidRPr="007660C8">
        <w:rPr>
          <w:rFonts w:asciiTheme="minorHAnsi" w:hAnsiTheme="minorHAnsi" w:cstheme="minorHAnsi"/>
          <w:b/>
          <w:bCs/>
          <w:sz w:val="22"/>
          <w:szCs w:val="22"/>
        </w:rPr>
        <w:t xml:space="preserve"> </w:t>
      </w:r>
      <w:r w:rsidR="0083656E" w:rsidRPr="007660C8">
        <w:rPr>
          <w:rFonts w:asciiTheme="minorHAnsi" w:hAnsiTheme="minorHAnsi" w:cstheme="minorHAnsi"/>
          <w:sz w:val="22"/>
          <w:szCs w:val="22"/>
        </w:rPr>
        <w:t>không phải trả tiền lời trừ khi là tiền lời về nợ phải trả.</w:t>
      </w:r>
    </w:p>
    <w:p w:rsidR="0083656E" w:rsidRPr="007660C8" w:rsidRDefault="0083656E"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p w:rsidR="00904139" w:rsidRPr="007660C8" w:rsidRDefault="00904139" w:rsidP="007B115E">
      <w:pPr>
        <w:widowControl w:val="0"/>
        <w:autoSpaceDE w:val="0"/>
        <w:autoSpaceDN w:val="0"/>
        <w:adjustRightInd w:val="0"/>
        <w:spacing w:before="80"/>
        <w:jc w:val="both"/>
        <w:rPr>
          <w:rFonts w:asciiTheme="minorHAnsi" w:hAnsiTheme="minorHAnsi" w:cstheme="minorHAnsi"/>
          <w:sz w:val="22"/>
          <w:szCs w:val="22"/>
        </w:rPr>
      </w:pPr>
    </w:p>
    <w:sectPr w:rsidR="00904139" w:rsidRPr="007660C8" w:rsidSect="007B115E">
      <w:footerReference w:type="default" r:id="rId7"/>
      <w:pgSz w:w="11909" w:h="16834"/>
      <w:pgMar w:top="1152" w:right="1008" w:bottom="576" w:left="1296"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BBC" w:rsidRDefault="00001BBC">
      <w:r>
        <w:separator/>
      </w:r>
    </w:p>
  </w:endnote>
  <w:endnote w:type="continuationSeparator" w:id="0">
    <w:p w:rsidR="00001BBC" w:rsidRDefault="0000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4A4" w:rsidRPr="007B115E" w:rsidRDefault="00F124A4">
    <w:pPr>
      <w:pStyle w:val="Footer"/>
      <w:rPr>
        <w:rFonts w:ascii="Tahoma" w:hAnsi="Tahoma" w:cs="Tahoma"/>
        <w:i/>
        <w:sz w:val="20"/>
        <w:szCs w:val="20"/>
      </w:rPr>
    </w:pPr>
    <w:r w:rsidRPr="007B115E">
      <w:rPr>
        <w:rFonts w:ascii="Tahoma" w:hAnsi="Tahoma" w:cs="Tahoma"/>
        <w:i/>
        <w:iCs/>
        <w:spacing w:val="-2"/>
        <w:sz w:val="20"/>
        <w:szCs w:val="20"/>
      </w:rPr>
      <w:t xml:space="preserve">Quy tắc </w:t>
    </w:r>
    <w:r w:rsidRPr="007B115E">
      <w:rPr>
        <w:rFonts w:ascii="Tahoma" w:hAnsi="Tahoma" w:cs="Tahoma"/>
        <w:i/>
        <w:iCs/>
        <w:spacing w:val="-1"/>
        <w:sz w:val="20"/>
        <w:szCs w:val="20"/>
      </w:rPr>
      <w:t>b</w:t>
    </w:r>
    <w:r w:rsidRPr="007B115E">
      <w:rPr>
        <w:rFonts w:ascii="Tahoma" w:hAnsi="Tahoma" w:cs="Tahoma"/>
        <w:i/>
        <w:iCs/>
        <w:sz w:val="20"/>
        <w:szCs w:val="20"/>
      </w:rPr>
      <w:t>ảo</w:t>
    </w:r>
    <w:r w:rsidRPr="007B115E">
      <w:rPr>
        <w:rFonts w:ascii="Tahoma" w:hAnsi="Tahoma" w:cs="Tahoma"/>
        <w:i/>
        <w:iCs/>
        <w:spacing w:val="1"/>
        <w:sz w:val="20"/>
        <w:szCs w:val="20"/>
      </w:rPr>
      <w:t xml:space="preserve"> </w:t>
    </w:r>
    <w:r w:rsidRPr="007B115E">
      <w:rPr>
        <w:rFonts w:ascii="Tahoma" w:hAnsi="Tahoma" w:cs="Tahoma"/>
        <w:i/>
        <w:iCs/>
        <w:spacing w:val="-2"/>
        <w:sz w:val="20"/>
        <w:szCs w:val="20"/>
      </w:rPr>
      <w:t>h</w:t>
    </w:r>
    <w:r w:rsidRPr="007B115E">
      <w:rPr>
        <w:rFonts w:ascii="Tahoma" w:hAnsi="Tahoma" w:cs="Tahoma"/>
        <w:i/>
        <w:iCs/>
        <w:spacing w:val="2"/>
        <w:sz w:val="20"/>
        <w:szCs w:val="20"/>
      </w:rPr>
      <w:t>i</w:t>
    </w:r>
    <w:r w:rsidRPr="007B115E">
      <w:rPr>
        <w:rFonts w:ascii="Tahoma" w:hAnsi="Tahoma" w:cs="Tahoma"/>
        <w:i/>
        <w:iCs/>
        <w:sz w:val="20"/>
        <w:szCs w:val="20"/>
      </w:rPr>
      <w:t>ểm</w:t>
    </w:r>
    <w:r w:rsidRPr="007B115E">
      <w:rPr>
        <w:rFonts w:ascii="Tahoma" w:hAnsi="Tahoma" w:cs="Tahoma"/>
        <w:i/>
        <w:iCs/>
        <w:spacing w:val="-1"/>
        <w:sz w:val="20"/>
        <w:szCs w:val="20"/>
      </w:rPr>
      <w:t xml:space="preserve"> </w:t>
    </w:r>
    <w:r w:rsidRPr="007B115E">
      <w:rPr>
        <w:rFonts w:ascii="Tahoma" w:hAnsi="Tahoma" w:cs="Tahoma"/>
        <w:i/>
        <w:iCs/>
        <w:spacing w:val="-2"/>
        <w:sz w:val="20"/>
        <w:szCs w:val="20"/>
      </w:rPr>
      <w:t>M</w:t>
    </w:r>
    <w:r w:rsidRPr="007B115E">
      <w:rPr>
        <w:rFonts w:ascii="Tahoma" w:hAnsi="Tahoma" w:cs="Tahoma"/>
        <w:i/>
        <w:iCs/>
        <w:sz w:val="20"/>
        <w:szCs w:val="20"/>
      </w:rPr>
      <w:t xml:space="preserve">áy </w:t>
    </w:r>
    <w:r w:rsidRPr="007B115E">
      <w:rPr>
        <w:rFonts w:ascii="Tahoma" w:hAnsi="Tahoma" w:cs="Tahoma"/>
        <w:i/>
        <w:iCs/>
        <w:spacing w:val="-1"/>
        <w:sz w:val="20"/>
        <w:szCs w:val="20"/>
      </w:rPr>
      <w:t>m</w:t>
    </w:r>
    <w:r w:rsidRPr="007B115E">
      <w:rPr>
        <w:rFonts w:ascii="Tahoma" w:hAnsi="Tahoma" w:cs="Tahoma"/>
        <w:i/>
        <w:iCs/>
        <w:spacing w:val="1"/>
        <w:sz w:val="20"/>
        <w:szCs w:val="20"/>
      </w:rPr>
      <w:t>ó</w:t>
    </w:r>
    <w:r w:rsidRPr="007B115E">
      <w:rPr>
        <w:rFonts w:ascii="Tahoma" w:hAnsi="Tahoma" w:cs="Tahoma"/>
        <w:i/>
        <w:iCs/>
        <w:sz w:val="20"/>
        <w:szCs w:val="20"/>
      </w:rPr>
      <w:t>c</w:t>
    </w:r>
    <w:r w:rsidRPr="007B115E">
      <w:rPr>
        <w:rFonts w:ascii="Tahoma" w:hAnsi="Tahoma" w:cs="Tahoma"/>
        <w:i/>
        <w:iCs/>
        <w:spacing w:val="-2"/>
        <w:sz w:val="20"/>
        <w:szCs w:val="20"/>
      </w:rPr>
      <w:t xml:space="preserve"> </w:t>
    </w:r>
    <w:r w:rsidRPr="007B115E">
      <w:rPr>
        <w:rFonts w:ascii="Tahoma" w:hAnsi="Tahoma" w:cs="Tahoma"/>
        <w:i/>
        <w:iCs/>
        <w:spacing w:val="2"/>
        <w:sz w:val="20"/>
        <w:szCs w:val="20"/>
      </w:rPr>
      <w:t>T</w:t>
    </w:r>
    <w:r w:rsidRPr="007B115E">
      <w:rPr>
        <w:rFonts w:ascii="Tahoma" w:hAnsi="Tahoma" w:cs="Tahoma"/>
        <w:i/>
        <w:iCs/>
        <w:spacing w:val="-2"/>
        <w:sz w:val="20"/>
        <w:szCs w:val="20"/>
      </w:rPr>
      <w:t>h</w:t>
    </w:r>
    <w:r w:rsidRPr="007B115E">
      <w:rPr>
        <w:rFonts w:ascii="Tahoma" w:hAnsi="Tahoma" w:cs="Tahoma"/>
        <w:i/>
        <w:iCs/>
        <w:spacing w:val="2"/>
        <w:sz w:val="20"/>
        <w:szCs w:val="20"/>
      </w:rPr>
      <w:t>i</w:t>
    </w:r>
    <w:r w:rsidRPr="007B115E">
      <w:rPr>
        <w:rFonts w:ascii="Tahoma" w:hAnsi="Tahoma" w:cs="Tahoma"/>
        <w:i/>
        <w:iCs/>
        <w:sz w:val="20"/>
        <w:szCs w:val="20"/>
      </w:rPr>
      <w:t xml:space="preserve">ết </w:t>
    </w:r>
    <w:r w:rsidRPr="007B115E">
      <w:rPr>
        <w:rFonts w:ascii="Tahoma" w:hAnsi="Tahoma" w:cs="Tahoma"/>
        <w:i/>
        <w:iCs/>
        <w:spacing w:val="-1"/>
        <w:sz w:val="20"/>
        <w:szCs w:val="20"/>
      </w:rPr>
      <w:t>b</w:t>
    </w:r>
    <w:r w:rsidRPr="007B115E">
      <w:rPr>
        <w:rFonts w:ascii="Tahoma" w:hAnsi="Tahoma" w:cs="Tahoma"/>
        <w:i/>
        <w:iCs/>
        <w:sz w:val="20"/>
        <w:szCs w:val="20"/>
      </w:rPr>
      <w:t>ị</w:t>
    </w:r>
    <w:r w:rsidRPr="007B115E">
      <w:rPr>
        <w:rFonts w:ascii="Tahoma" w:hAnsi="Tahoma" w:cs="Tahoma"/>
        <w:i/>
        <w:iCs/>
        <w:spacing w:val="14"/>
        <w:sz w:val="20"/>
        <w:szCs w:val="20"/>
      </w:rPr>
      <w:t xml:space="preserve"> </w:t>
    </w:r>
    <w:r w:rsidRPr="007B115E">
      <w:rPr>
        <w:rFonts w:ascii="Tahoma" w:hAnsi="Tahoma" w:cs="Tahoma"/>
        <w:i/>
        <w:iCs/>
        <w:spacing w:val="-2"/>
        <w:sz w:val="20"/>
        <w:szCs w:val="20"/>
      </w:rPr>
      <w:t>ch</w:t>
    </w:r>
    <w:r w:rsidRPr="007B115E">
      <w:rPr>
        <w:rFonts w:ascii="Tahoma" w:hAnsi="Tahoma" w:cs="Tahoma"/>
        <w:i/>
        <w:iCs/>
        <w:sz w:val="20"/>
        <w:szCs w:val="20"/>
      </w:rPr>
      <w:t>o</w:t>
    </w:r>
    <w:r w:rsidRPr="007B115E">
      <w:rPr>
        <w:rFonts w:ascii="Tahoma" w:hAnsi="Tahoma" w:cs="Tahoma"/>
        <w:i/>
        <w:iCs/>
        <w:spacing w:val="1"/>
        <w:sz w:val="20"/>
        <w:szCs w:val="20"/>
      </w:rPr>
      <w:t xml:space="preserve"> </w:t>
    </w:r>
    <w:r w:rsidRPr="007B115E">
      <w:rPr>
        <w:rFonts w:ascii="Tahoma" w:hAnsi="Tahoma" w:cs="Tahoma"/>
        <w:i/>
        <w:iCs/>
        <w:sz w:val="20"/>
        <w:szCs w:val="20"/>
      </w:rPr>
      <w:t>t</w:t>
    </w:r>
    <w:r w:rsidRPr="007B115E">
      <w:rPr>
        <w:rFonts w:ascii="Tahoma" w:hAnsi="Tahoma" w:cs="Tahoma"/>
        <w:i/>
        <w:iCs/>
        <w:spacing w:val="-2"/>
        <w:sz w:val="20"/>
        <w:szCs w:val="20"/>
      </w:rPr>
      <w:t>hu</w:t>
    </w:r>
    <w:r w:rsidRPr="007B115E">
      <w:rPr>
        <w:rFonts w:ascii="Tahoma" w:hAnsi="Tahoma" w:cs="Tahoma"/>
        <w:i/>
        <w:iCs/>
        <w:sz w:val="20"/>
        <w:szCs w:val="20"/>
      </w:rPr>
      <w:t>ê</w:t>
    </w:r>
    <w:r w:rsidRPr="007B115E">
      <w:rPr>
        <w:rFonts w:ascii="Tahoma" w:hAnsi="Tahoma" w:cs="Tahoma"/>
        <w:i/>
        <w:iCs/>
        <w:sz w:val="20"/>
        <w:szCs w:val="20"/>
      </w:rPr>
      <w:tab/>
      <w:t xml:space="preserve">                                                                                     </w:t>
    </w:r>
    <w:r w:rsidRPr="007B115E">
      <w:rPr>
        <w:rStyle w:val="PageNumber"/>
        <w:rFonts w:ascii="Tahoma" w:hAnsi="Tahoma" w:cs="Tahoma"/>
        <w:i/>
        <w:sz w:val="20"/>
        <w:szCs w:val="20"/>
      </w:rPr>
      <w:fldChar w:fldCharType="begin"/>
    </w:r>
    <w:r w:rsidRPr="007B115E">
      <w:rPr>
        <w:rStyle w:val="PageNumber"/>
        <w:rFonts w:ascii="Tahoma" w:hAnsi="Tahoma" w:cs="Tahoma"/>
        <w:i/>
        <w:sz w:val="20"/>
        <w:szCs w:val="20"/>
      </w:rPr>
      <w:instrText xml:space="preserve"> PAGE </w:instrText>
    </w:r>
    <w:r w:rsidRPr="007B115E">
      <w:rPr>
        <w:rStyle w:val="PageNumber"/>
        <w:rFonts w:ascii="Tahoma" w:hAnsi="Tahoma" w:cs="Tahoma"/>
        <w:i/>
        <w:sz w:val="20"/>
        <w:szCs w:val="20"/>
      </w:rPr>
      <w:fldChar w:fldCharType="separate"/>
    </w:r>
    <w:r w:rsidR="007660C8">
      <w:rPr>
        <w:rStyle w:val="PageNumber"/>
        <w:rFonts w:ascii="Tahoma" w:hAnsi="Tahoma" w:cs="Tahoma"/>
        <w:i/>
        <w:noProof/>
        <w:sz w:val="20"/>
        <w:szCs w:val="20"/>
      </w:rPr>
      <w:t>1</w:t>
    </w:r>
    <w:r w:rsidRPr="007B115E">
      <w:rPr>
        <w:rStyle w:val="PageNumber"/>
        <w:rFonts w:ascii="Tahoma" w:hAnsi="Tahoma" w:cs="Tahoma"/>
        <w:i/>
        <w:sz w:val="20"/>
        <w:szCs w:val="20"/>
      </w:rPr>
      <w:fldChar w:fldCharType="end"/>
    </w:r>
    <w:r w:rsidRPr="007B115E">
      <w:rPr>
        <w:rStyle w:val="PageNumber"/>
        <w:rFonts w:ascii="Tahoma" w:hAnsi="Tahoma" w:cs="Tahoma"/>
        <w:i/>
        <w:sz w:val="20"/>
        <w:szCs w:val="20"/>
      </w:rPr>
      <w:t>/</w:t>
    </w:r>
    <w:r w:rsidRPr="007B115E">
      <w:rPr>
        <w:rStyle w:val="PageNumber"/>
        <w:rFonts w:ascii="Tahoma" w:hAnsi="Tahoma" w:cs="Tahoma"/>
        <w:i/>
        <w:sz w:val="20"/>
        <w:szCs w:val="20"/>
      </w:rPr>
      <w:fldChar w:fldCharType="begin"/>
    </w:r>
    <w:r w:rsidRPr="007B115E">
      <w:rPr>
        <w:rStyle w:val="PageNumber"/>
        <w:rFonts w:ascii="Tahoma" w:hAnsi="Tahoma" w:cs="Tahoma"/>
        <w:i/>
        <w:sz w:val="20"/>
        <w:szCs w:val="20"/>
      </w:rPr>
      <w:instrText xml:space="preserve"> NUMPAGES </w:instrText>
    </w:r>
    <w:r w:rsidRPr="007B115E">
      <w:rPr>
        <w:rStyle w:val="PageNumber"/>
        <w:rFonts w:ascii="Tahoma" w:hAnsi="Tahoma" w:cs="Tahoma"/>
        <w:i/>
        <w:sz w:val="20"/>
        <w:szCs w:val="20"/>
      </w:rPr>
      <w:fldChar w:fldCharType="separate"/>
    </w:r>
    <w:r w:rsidR="007660C8">
      <w:rPr>
        <w:rStyle w:val="PageNumber"/>
        <w:rFonts w:ascii="Tahoma" w:hAnsi="Tahoma" w:cs="Tahoma"/>
        <w:i/>
        <w:noProof/>
        <w:sz w:val="20"/>
        <w:szCs w:val="20"/>
      </w:rPr>
      <w:t>6</w:t>
    </w:r>
    <w:r w:rsidRPr="007B115E">
      <w:rPr>
        <w:rStyle w:val="PageNumber"/>
        <w:rFonts w:ascii="Tahoma" w:hAnsi="Tahoma" w:cs="Tahoma"/>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BBC" w:rsidRDefault="00001BBC">
      <w:r>
        <w:separator/>
      </w:r>
    </w:p>
  </w:footnote>
  <w:footnote w:type="continuationSeparator" w:id="0">
    <w:p w:rsidR="00001BBC" w:rsidRDefault="00001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2786"/>
    <w:multiLevelType w:val="hybridMultilevel"/>
    <w:tmpl w:val="BC8268A8"/>
    <w:lvl w:ilvl="0" w:tplc="6C6E1CE6">
      <w:start w:val="1"/>
      <w:numFmt w:val="lowerLetter"/>
      <w:lvlText w:val="%1)"/>
      <w:lvlJc w:val="left"/>
      <w:pPr>
        <w:tabs>
          <w:tab w:val="num" w:pos="720"/>
        </w:tabs>
        <w:ind w:left="720" w:hanging="360"/>
      </w:pPr>
      <w:rPr>
        <w:rFonts w:hint="default"/>
      </w:rPr>
    </w:lvl>
    <w:lvl w:ilvl="1" w:tplc="803E2E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776CF6"/>
    <w:multiLevelType w:val="hybridMultilevel"/>
    <w:tmpl w:val="D6CA93B6"/>
    <w:lvl w:ilvl="0" w:tplc="6C6E1C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86243D"/>
    <w:multiLevelType w:val="hybridMultilevel"/>
    <w:tmpl w:val="EA4033D4"/>
    <w:lvl w:ilvl="0" w:tplc="6C6E1C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48435E"/>
    <w:multiLevelType w:val="hybridMultilevel"/>
    <w:tmpl w:val="573E4D2C"/>
    <w:lvl w:ilvl="0" w:tplc="6C6E1C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7A05AE"/>
    <w:multiLevelType w:val="hybridMultilevel"/>
    <w:tmpl w:val="1A1AB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8925D6"/>
    <w:multiLevelType w:val="hybridMultilevel"/>
    <w:tmpl w:val="5E56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EF003B"/>
    <w:multiLevelType w:val="hybridMultilevel"/>
    <w:tmpl w:val="B35A0960"/>
    <w:lvl w:ilvl="0" w:tplc="0E7C291C">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96180C"/>
    <w:multiLevelType w:val="hybridMultilevel"/>
    <w:tmpl w:val="65FCE336"/>
    <w:lvl w:ilvl="0" w:tplc="6C6E1C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BE20BE"/>
    <w:multiLevelType w:val="hybridMultilevel"/>
    <w:tmpl w:val="E318C242"/>
    <w:lvl w:ilvl="0" w:tplc="8A405A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C384DDC"/>
    <w:multiLevelType w:val="hybridMultilevel"/>
    <w:tmpl w:val="6F3A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6"/>
  </w:num>
  <w:num w:numId="5">
    <w:abstractNumId w:val="8"/>
  </w:num>
  <w:num w:numId="6">
    <w:abstractNumId w:val="0"/>
  </w:num>
  <w:num w:numId="7">
    <w:abstractNumId w:val="7"/>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56E"/>
    <w:rsid w:val="00001BBC"/>
    <w:rsid w:val="00053269"/>
    <w:rsid w:val="0012104E"/>
    <w:rsid w:val="00123861"/>
    <w:rsid w:val="002F7BF8"/>
    <w:rsid w:val="003F0EAA"/>
    <w:rsid w:val="003F3171"/>
    <w:rsid w:val="00456B8F"/>
    <w:rsid w:val="00473655"/>
    <w:rsid w:val="004A642F"/>
    <w:rsid w:val="0062368D"/>
    <w:rsid w:val="00671492"/>
    <w:rsid w:val="006E2E6E"/>
    <w:rsid w:val="00734696"/>
    <w:rsid w:val="00735712"/>
    <w:rsid w:val="007660C8"/>
    <w:rsid w:val="007B115E"/>
    <w:rsid w:val="0083110B"/>
    <w:rsid w:val="0083656E"/>
    <w:rsid w:val="0083796B"/>
    <w:rsid w:val="008570BA"/>
    <w:rsid w:val="008648E8"/>
    <w:rsid w:val="00884F9E"/>
    <w:rsid w:val="008B50A8"/>
    <w:rsid w:val="008E2305"/>
    <w:rsid w:val="00904139"/>
    <w:rsid w:val="009352E2"/>
    <w:rsid w:val="009442E0"/>
    <w:rsid w:val="00956F7A"/>
    <w:rsid w:val="009751FC"/>
    <w:rsid w:val="009C2D29"/>
    <w:rsid w:val="00B15CD4"/>
    <w:rsid w:val="00C80789"/>
    <w:rsid w:val="00CD2A94"/>
    <w:rsid w:val="00CD31FD"/>
    <w:rsid w:val="00E76A44"/>
    <w:rsid w:val="00EC5B2A"/>
    <w:rsid w:val="00F124A4"/>
    <w:rsid w:val="00F12839"/>
    <w:rsid w:val="00F1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4B5138A-5EBB-4D75-9BC3-235E8553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04139"/>
    <w:pPr>
      <w:tabs>
        <w:tab w:val="center" w:pos="4320"/>
        <w:tab w:val="right" w:pos="8640"/>
      </w:tabs>
    </w:pPr>
  </w:style>
  <w:style w:type="paragraph" w:styleId="Footer">
    <w:name w:val="footer"/>
    <w:basedOn w:val="Normal"/>
    <w:rsid w:val="00904139"/>
    <w:pPr>
      <w:tabs>
        <w:tab w:val="center" w:pos="4320"/>
        <w:tab w:val="right" w:pos="8640"/>
      </w:tabs>
    </w:pPr>
  </w:style>
  <w:style w:type="character" w:styleId="PageNumber">
    <w:name w:val="page number"/>
    <w:basedOn w:val="DefaultParagraphFont"/>
    <w:rsid w:val="00904139"/>
  </w:style>
  <w:style w:type="paragraph" w:styleId="BalloonText">
    <w:name w:val="Balloon Text"/>
    <w:basedOn w:val="Normal"/>
    <w:semiHidden/>
    <w:rsid w:val="00B15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19181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dcterms:created xsi:type="dcterms:W3CDTF">2018-05-28T07:45:00Z</dcterms:created>
  <dcterms:modified xsi:type="dcterms:W3CDTF">2018-05-28T07:45:00Z</dcterms:modified>
</cp:coreProperties>
</file>