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00" w:rsidRPr="00F646B2" w:rsidRDefault="00B729DC">
      <w:pPr>
        <w:pStyle w:val="Default"/>
        <w:spacing w:line="460" w:lineRule="atLeast"/>
        <w:jc w:val="center"/>
        <w:rPr>
          <w:rFonts w:asciiTheme="minorHAnsi" w:hAnsiTheme="minorHAnsi" w:cstheme="minorHAnsi"/>
          <w:b/>
          <w:bCs/>
          <w:sz w:val="32"/>
          <w:szCs w:val="32"/>
        </w:rPr>
      </w:pPr>
      <w:bookmarkStart w:id="0" w:name="_GoBack"/>
      <w:r w:rsidRPr="00F646B2">
        <w:rPr>
          <w:rFonts w:asciiTheme="minorHAnsi" w:hAnsiTheme="minorHAnsi" w:cstheme="minorHAnsi"/>
          <w:b/>
          <w:bCs/>
          <w:sz w:val="32"/>
          <w:szCs w:val="32"/>
        </w:rPr>
        <w:t xml:space="preserve">QUY TẮC </w:t>
      </w:r>
    </w:p>
    <w:p w:rsidR="00B729DC" w:rsidRPr="00F646B2" w:rsidRDefault="00B729DC" w:rsidP="00402EC7">
      <w:pPr>
        <w:pStyle w:val="Default"/>
        <w:spacing w:before="80"/>
        <w:jc w:val="center"/>
        <w:rPr>
          <w:rFonts w:asciiTheme="minorHAnsi" w:hAnsiTheme="minorHAnsi" w:cstheme="minorHAnsi"/>
          <w:sz w:val="22"/>
          <w:szCs w:val="22"/>
        </w:rPr>
      </w:pPr>
      <w:r w:rsidRPr="00F646B2">
        <w:rPr>
          <w:rFonts w:asciiTheme="minorHAnsi" w:hAnsiTheme="minorHAnsi" w:cstheme="minorHAnsi"/>
          <w:b/>
          <w:bCs/>
          <w:sz w:val="22"/>
          <w:szCs w:val="22"/>
        </w:rPr>
        <w:t xml:space="preserve">BẢO HIỂM TRỘM CƯỚP </w:t>
      </w:r>
    </w:p>
    <w:p w:rsidR="00B729DC" w:rsidRPr="00F646B2" w:rsidRDefault="00B729DC" w:rsidP="00402EC7">
      <w:pPr>
        <w:pStyle w:val="CM9"/>
        <w:spacing w:before="80" w:after="0"/>
        <w:jc w:val="center"/>
        <w:rPr>
          <w:rFonts w:asciiTheme="minorHAnsi" w:hAnsiTheme="minorHAnsi" w:cstheme="minorHAnsi"/>
          <w:i/>
          <w:iCs/>
          <w:color w:val="000000"/>
          <w:sz w:val="20"/>
          <w:szCs w:val="20"/>
        </w:rPr>
      </w:pPr>
      <w:r w:rsidRPr="00F646B2">
        <w:rPr>
          <w:rFonts w:asciiTheme="minorHAnsi" w:hAnsiTheme="minorHAnsi" w:cstheme="minorHAnsi"/>
          <w:i/>
          <w:iCs/>
          <w:color w:val="000000"/>
          <w:sz w:val="20"/>
          <w:szCs w:val="20"/>
        </w:rPr>
        <w:t xml:space="preserve">(Ban hành kèm theo quyết định số: 63/05/QĐ-TGĐ ngày 21/06/2005) </w:t>
      </w:r>
    </w:p>
    <w:p w:rsidR="00402EC7" w:rsidRPr="00F646B2" w:rsidRDefault="00402EC7" w:rsidP="00402EC7">
      <w:pPr>
        <w:pStyle w:val="Default"/>
        <w:rPr>
          <w:rFonts w:asciiTheme="minorHAnsi" w:hAnsiTheme="minorHAnsi" w:cstheme="minorHAnsi"/>
        </w:rPr>
      </w:pPr>
    </w:p>
    <w:p w:rsidR="00B729DC" w:rsidRPr="00F646B2" w:rsidRDefault="00B729DC">
      <w:pPr>
        <w:pStyle w:val="CM9"/>
        <w:spacing w:line="320" w:lineRule="atLeast"/>
        <w:jc w:val="both"/>
        <w:rPr>
          <w:rFonts w:asciiTheme="minorHAnsi" w:hAnsiTheme="minorHAnsi" w:cstheme="minorHAnsi"/>
          <w:color w:val="000000"/>
          <w:sz w:val="22"/>
          <w:szCs w:val="22"/>
        </w:rPr>
      </w:pPr>
      <w:r w:rsidRPr="00F646B2">
        <w:rPr>
          <w:rFonts w:asciiTheme="minorHAnsi" w:hAnsiTheme="minorHAnsi" w:cstheme="minorHAnsi"/>
          <w:color w:val="000000"/>
          <w:sz w:val="22"/>
          <w:szCs w:val="22"/>
        </w:rPr>
        <w:t xml:space="preserve">Trên cơ sở Người được bảo hiểm đã gửi cho </w:t>
      </w:r>
      <w:r w:rsidRPr="00F646B2">
        <w:rPr>
          <w:rFonts w:asciiTheme="minorHAnsi" w:hAnsiTheme="minorHAnsi" w:cstheme="minorHAnsi"/>
          <w:b/>
          <w:bCs/>
          <w:color w:val="000000"/>
          <w:sz w:val="22"/>
          <w:szCs w:val="22"/>
        </w:rPr>
        <w:t xml:space="preserve">Công ty cổ phần </w:t>
      </w:r>
      <w:r w:rsidR="0060019F" w:rsidRPr="00F646B2">
        <w:rPr>
          <w:rFonts w:asciiTheme="minorHAnsi" w:hAnsiTheme="minorHAnsi" w:cstheme="minorHAnsi"/>
          <w:b/>
          <w:bCs/>
          <w:color w:val="000000"/>
          <w:sz w:val="22"/>
          <w:szCs w:val="22"/>
        </w:rPr>
        <w:t>Bảo Hiểm AAA</w:t>
      </w:r>
      <w:r w:rsidRPr="00F646B2">
        <w:rPr>
          <w:rFonts w:asciiTheme="minorHAnsi" w:hAnsiTheme="minorHAnsi" w:cstheme="minorHAnsi"/>
          <w:b/>
          <w:bCs/>
          <w:color w:val="000000"/>
          <w:sz w:val="22"/>
          <w:szCs w:val="22"/>
        </w:rPr>
        <w:t xml:space="preserve"> </w:t>
      </w:r>
      <w:r w:rsidRPr="00F646B2">
        <w:rPr>
          <w:rFonts w:asciiTheme="minorHAnsi" w:hAnsiTheme="minorHAnsi" w:cstheme="minorHAnsi"/>
          <w:color w:val="000000"/>
          <w:sz w:val="22"/>
          <w:szCs w:val="22"/>
        </w:rPr>
        <w:t xml:space="preserve">(gọi tắt là </w:t>
      </w:r>
      <w:r w:rsidR="0060019F" w:rsidRPr="00F646B2">
        <w:rPr>
          <w:rFonts w:asciiTheme="minorHAnsi" w:hAnsiTheme="minorHAnsi" w:cstheme="minorHAnsi"/>
          <w:color w:val="000000"/>
          <w:sz w:val="22"/>
          <w:szCs w:val="22"/>
        </w:rPr>
        <w:t>Bảo Hiểm AAA</w:t>
      </w:r>
      <w:r w:rsidRPr="00F646B2">
        <w:rPr>
          <w:rFonts w:asciiTheme="minorHAnsi" w:hAnsiTheme="minorHAnsi" w:cstheme="minorHAnsi"/>
          <w:color w:val="000000"/>
          <w:sz w:val="22"/>
          <w:szCs w:val="22"/>
        </w:rPr>
        <w:t xml:space="preserve">) Giấy yêu cầu bảo hiểm (Giấy yêu cầu bảo hiểm này được xem như một bộ phận không tách rời của hợp đồng bảo hiểm) và đã thanh toán hoặc đồng ý thanh toán cho </w:t>
      </w:r>
      <w:r w:rsidR="0060019F" w:rsidRPr="00F646B2">
        <w:rPr>
          <w:rFonts w:asciiTheme="minorHAnsi" w:hAnsiTheme="minorHAnsi" w:cstheme="minorHAnsi"/>
          <w:color w:val="000000"/>
          <w:sz w:val="22"/>
          <w:szCs w:val="22"/>
        </w:rPr>
        <w:t>Bảo Hiểm AAA</w:t>
      </w:r>
      <w:r w:rsidRPr="00F646B2">
        <w:rPr>
          <w:rFonts w:asciiTheme="minorHAnsi" w:hAnsiTheme="minorHAnsi" w:cstheme="minorHAnsi"/>
          <w:b/>
          <w:bCs/>
          <w:color w:val="000000"/>
          <w:sz w:val="22"/>
          <w:szCs w:val="22"/>
        </w:rPr>
        <w:t xml:space="preserve"> </w:t>
      </w:r>
      <w:r w:rsidRPr="00F646B2">
        <w:rPr>
          <w:rFonts w:asciiTheme="minorHAnsi" w:hAnsiTheme="minorHAnsi" w:cstheme="minorHAnsi"/>
          <w:color w:val="000000"/>
          <w:sz w:val="22"/>
          <w:szCs w:val="22"/>
        </w:rPr>
        <w:t xml:space="preserve">số phí bảo hiểm theo thoả thuận, </w:t>
      </w:r>
      <w:r w:rsidR="0060019F" w:rsidRPr="00F646B2">
        <w:rPr>
          <w:rFonts w:asciiTheme="minorHAnsi" w:hAnsiTheme="minorHAnsi" w:cstheme="minorHAnsi"/>
          <w:color w:val="000000"/>
          <w:sz w:val="22"/>
          <w:szCs w:val="22"/>
        </w:rPr>
        <w:t>Bảo Hiểm AAA</w:t>
      </w:r>
      <w:r w:rsidRPr="00F646B2">
        <w:rPr>
          <w:rFonts w:asciiTheme="minorHAnsi" w:hAnsiTheme="minorHAnsi" w:cstheme="minorHAnsi"/>
          <w:b/>
          <w:bCs/>
          <w:color w:val="000000"/>
          <w:sz w:val="22"/>
          <w:szCs w:val="22"/>
        </w:rPr>
        <w:t xml:space="preserve"> </w:t>
      </w:r>
      <w:r w:rsidRPr="00F646B2">
        <w:rPr>
          <w:rFonts w:asciiTheme="minorHAnsi" w:hAnsiTheme="minorHAnsi" w:cstheme="minorHAnsi"/>
          <w:color w:val="000000"/>
          <w:sz w:val="22"/>
          <w:szCs w:val="22"/>
        </w:rPr>
        <w:t xml:space="preserve">đồng ý rằng, căn cứ vào các điều khoản, các điểm loại trừ, các giới hạn trách nhiệm và các điều kiện quy định dưới đây, </w:t>
      </w:r>
      <w:r w:rsidR="0060019F" w:rsidRPr="00F646B2">
        <w:rPr>
          <w:rFonts w:asciiTheme="minorHAnsi" w:hAnsiTheme="minorHAnsi" w:cstheme="minorHAnsi"/>
          <w:color w:val="000000"/>
          <w:sz w:val="22"/>
          <w:szCs w:val="22"/>
        </w:rPr>
        <w:t>Bảo Hiểm AAA</w:t>
      </w:r>
      <w:r w:rsidRPr="00F646B2">
        <w:rPr>
          <w:rFonts w:asciiTheme="minorHAnsi" w:hAnsiTheme="minorHAnsi" w:cstheme="minorHAnsi"/>
          <w:b/>
          <w:bCs/>
          <w:color w:val="000000"/>
          <w:sz w:val="22"/>
          <w:szCs w:val="22"/>
        </w:rPr>
        <w:t xml:space="preserve"> </w:t>
      </w:r>
      <w:r w:rsidRPr="00F646B2">
        <w:rPr>
          <w:rFonts w:asciiTheme="minorHAnsi" w:hAnsiTheme="minorHAnsi" w:cstheme="minorHAnsi"/>
          <w:color w:val="000000"/>
          <w:sz w:val="22"/>
          <w:szCs w:val="22"/>
        </w:rPr>
        <w:t xml:space="preserve">sẽ bồi thường cho Người được bảo hiểm nếu trong thời hạn bảo hiểm: </w:t>
      </w:r>
    </w:p>
    <w:p w:rsidR="00B729DC" w:rsidRPr="00F646B2" w:rsidRDefault="00B729DC" w:rsidP="00613F00">
      <w:pPr>
        <w:pStyle w:val="Default"/>
        <w:numPr>
          <w:ilvl w:val="0"/>
          <w:numId w:val="3"/>
        </w:numPr>
        <w:tabs>
          <w:tab w:val="clear" w:pos="720"/>
        </w:tabs>
        <w:ind w:left="360"/>
        <w:jc w:val="both"/>
        <w:rPr>
          <w:rFonts w:asciiTheme="minorHAnsi" w:hAnsiTheme="minorHAnsi" w:cstheme="minorHAnsi"/>
          <w:sz w:val="22"/>
          <w:szCs w:val="22"/>
        </w:rPr>
      </w:pPr>
      <w:r w:rsidRPr="00F646B2">
        <w:rPr>
          <w:rFonts w:asciiTheme="minorHAnsi" w:hAnsiTheme="minorHAnsi" w:cstheme="minorHAnsi"/>
          <w:sz w:val="22"/>
          <w:szCs w:val="22"/>
        </w:rPr>
        <w:t>bất kỳ tài sản để trong ngôi nhà hoặc phần ngôi nhà ghi trong Giấy yêu cầu b</w:t>
      </w:r>
      <w:r w:rsidR="000800B9" w:rsidRPr="00F646B2">
        <w:rPr>
          <w:rFonts w:asciiTheme="minorHAnsi" w:hAnsiTheme="minorHAnsi" w:cstheme="minorHAnsi"/>
          <w:sz w:val="22"/>
          <w:szCs w:val="22"/>
        </w:rPr>
        <w:t>ả</w:t>
      </w:r>
      <w:r w:rsidRPr="00F646B2">
        <w:rPr>
          <w:rFonts w:asciiTheme="minorHAnsi" w:hAnsiTheme="minorHAnsi" w:cstheme="minorHAnsi"/>
          <w:sz w:val="22"/>
          <w:szCs w:val="22"/>
        </w:rPr>
        <w:t xml:space="preserve">o hiểm (dưới đây gọi là ngôi nhà) bị mất mát hoặc thiệt hại do trộm cắp có kèm theo: </w:t>
      </w:r>
    </w:p>
    <w:p w:rsidR="00613F00" w:rsidRPr="00F646B2" w:rsidRDefault="00613F00" w:rsidP="00613F00">
      <w:pPr>
        <w:widowControl w:val="0"/>
        <w:numPr>
          <w:ilvl w:val="0"/>
          <w:numId w:val="1"/>
        </w:numPr>
        <w:tabs>
          <w:tab w:val="clear" w:pos="3960"/>
        </w:tabs>
        <w:autoSpaceDE w:val="0"/>
        <w:autoSpaceDN w:val="0"/>
        <w:spacing w:before="60"/>
        <w:ind w:left="360"/>
        <w:jc w:val="both"/>
        <w:rPr>
          <w:rFonts w:asciiTheme="minorHAnsi" w:hAnsiTheme="minorHAnsi" w:cstheme="minorHAnsi"/>
          <w:snapToGrid w:val="0"/>
          <w:sz w:val="22"/>
          <w:szCs w:val="22"/>
        </w:rPr>
      </w:pPr>
      <w:r w:rsidRPr="00F646B2">
        <w:rPr>
          <w:rFonts w:asciiTheme="minorHAnsi" w:hAnsiTheme="minorHAnsi" w:cstheme="minorHAnsi"/>
          <w:snapToGrid w:val="0"/>
          <w:sz w:val="22"/>
          <w:szCs w:val="22"/>
        </w:rPr>
        <w:t>hành động đột nhập hoặc thoát khỏi ngôi nhà bằng vũ lực hoặc các phương tiện cưỡng bức, hoặc</w:t>
      </w:r>
    </w:p>
    <w:p w:rsidR="00613F00" w:rsidRPr="00F646B2" w:rsidRDefault="00613F00" w:rsidP="00613F00">
      <w:pPr>
        <w:widowControl w:val="0"/>
        <w:numPr>
          <w:ilvl w:val="0"/>
          <w:numId w:val="1"/>
        </w:numPr>
        <w:tabs>
          <w:tab w:val="clear" w:pos="3960"/>
        </w:tabs>
        <w:autoSpaceDE w:val="0"/>
        <w:autoSpaceDN w:val="0"/>
        <w:spacing w:before="60"/>
        <w:ind w:left="360"/>
        <w:jc w:val="both"/>
        <w:rPr>
          <w:rFonts w:asciiTheme="minorHAnsi" w:hAnsiTheme="minorHAnsi" w:cstheme="minorHAnsi"/>
          <w:sz w:val="22"/>
          <w:szCs w:val="22"/>
        </w:rPr>
      </w:pPr>
      <w:r w:rsidRPr="00F646B2">
        <w:rPr>
          <w:rFonts w:asciiTheme="minorHAnsi" w:hAnsiTheme="minorHAnsi" w:cstheme="minorHAnsi"/>
          <w:snapToGrid w:val="0"/>
          <w:sz w:val="22"/>
          <w:szCs w:val="22"/>
        </w:rPr>
        <w:t>tấn công, dùng vũ lực, hoặc đe dọa dùng vũ lực đối với Người được bảo hiểm, người làm thuê hoặc người được giao quản lý tài sản.</w:t>
      </w:r>
    </w:p>
    <w:p w:rsidR="00B729DC" w:rsidRPr="00F646B2" w:rsidRDefault="00B729DC">
      <w:pPr>
        <w:pStyle w:val="Default"/>
        <w:rPr>
          <w:rFonts w:asciiTheme="minorHAnsi" w:hAnsiTheme="minorHAnsi" w:cstheme="minorHAnsi"/>
          <w:color w:val="auto"/>
        </w:rPr>
      </w:pPr>
    </w:p>
    <w:p w:rsidR="00B729DC" w:rsidRPr="00F646B2" w:rsidRDefault="00B729DC" w:rsidP="00613F00">
      <w:pPr>
        <w:pStyle w:val="Default"/>
        <w:numPr>
          <w:ilvl w:val="0"/>
          <w:numId w:val="3"/>
        </w:numPr>
        <w:tabs>
          <w:tab w:val="clear" w:pos="720"/>
        </w:tabs>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ngôi nhà bị hư hại mà Người được bảo hiểm phải chịu tránh nhiệm do hậu quả của hành động trộm cướp. </w:t>
      </w:r>
    </w:p>
    <w:p w:rsidR="000800B9" w:rsidRPr="00F646B2" w:rsidRDefault="000800B9" w:rsidP="000800B9">
      <w:pPr>
        <w:pStyle w:val="CM2"/>
        <w:spacing w:line="240" w:lineRule="auto"/>
        <w:rPr>
          <w:rFonts w:asciiTheme="minorHAnsi" w:hAnsiTheme="minorHAnsi" w:cstheme="minorHAnsi"/>
          <w:b/>
          <w:bCs/>
          <w:sz w:val="22"/>
          <w:szCs w:val="22"/>
        </w:rPr>
      </w:pPr>
    </w:p>
    <w:p w:rsidR="00B729DC" w:rsidRPr="00F646B2" w:rsidRDefault="0060019F" w:rsidP="000800B9">
      <w:pPr>
        <w:pStyle w:val="CM2"/>
        <w:spacing w:line="240" w:lineRule="auto"/>
        <w:rPr>
          <w:rFonts w:asciiTheme="minorHAnsi" w:hAnsiTheme="minorHAnsi" w:cstheme="minorHAnsi"/>
          <w:sz w:val="22"/>
          <w:szCs w:val="22"/>
        </w:rPr>
      </w:pPr>
      <w:r w:rsidRPr="00F646B2">
        <w:rPr>
          <w:rFonts w:asciiTheme="minorHAnsi" w:hAnsiTheme="minorHAnsi" w:cstheme="minorHAnsi"/>
          <w:sz w:val="22"/>
          <w:szCs w:val="22"/>
        </w:rPr>
        <w:t>Bảo Hiểm AAA</w:t>
      </w:r>
      <w:r w:rsidR="00B729DC" w:rsidRPr="00F646B2">
        <w:rPr>
          <w:rFonts w:asciiTheme="minorHAnsi" w:hAnsiTheme="minorHAnsi" w:cstheme="minorHAnsi"/>
          <w:b/>
          <w:bCs/>
          <w:sz w:val="22"/>
          <w:szCs w:val="22"/>
        </w:rPr>
        <w:t xml:space="preserve"> </w:t>
      </w:r>
      <w:r w:rsidR="00B729DC" w:rsidRPr="00F646B2">
        <w:rPr>
          <w:rFonts w:asciiTheme="minorHAnsi" w:hAnsiTheme="minorHAnsi" w:cstheme="minorHAnsi"/>
          <w:sz w:val="22"/>
          <w:szCs w:val="22"/>
        </w:rPr>
        <w:t xml:space="preserve">có quyền lựa chọn một trong những hình thức bồi </w:t>
      </w:r>
      <w:r w:rsidR="000800B9" w:rsidRPr="00F646B2">
        <w:rPr>
          <w:rFonts w:asciiTheme="minorHAnsi" w:hAnsiTheme="minorHAnsi" w:cstheme="minorHAnsi"/>
          <w:sz w:val="22"/>
          <w:szCs w:val="22"/>
        </w:rPr>
        <w:t>thường: trả tiền, thay thế hoặc s</w:t>
      </w:r>
      <w:r w:rsidR="00B729DC" w:rsidRPr="00F646B2">
        <w:rPr>
          <w:rFonts w:asciiTheme="minorHAnsi" w:hAnsiTheme="minorHAnsi" w:cstheme="minorHAnsi"/>
          <w:sz w:val="22"/>
          <w:szCs w:val="22"/>
        </w:rPr>
        <w:t xml:space="preserve">ửa chữa tài sản bị tổn thất. </w:t>
      </w:r>
    </w:p>
    <w:p w:rsidR="00B729DC" w:rsidRPr="00F646B2" w:rsidRDefault="00B729DC" w:rsidP="00B729DC">
      <w:pPr>
        <w:pStyle w:val="CM3"/>
        <w:spacing w:before="80" w:line="240" w:lineRule="auto"/>
        <w:rPr>
          <w:rFonts w:asciiTheme="minorHAnsi" w:hAnsiTheme="minorHAnsi" w:cstheme="minorHAnsi"/>
          <w:b/>
          <w:bCs/>
          <w:sz w:val="22"/>
          <w:szCs w:val="22"/>
        </w:rPr>
      </w:pPr>
    </w:p>
    <w:p w:rsidR="00B729DC" w:rsidRPr="00F646B2" w:rsidRDefault="00B729DC" w:rsidP="00B729DC">
      <w:pPr>
        <w:pStyle w:val="CM3"/>
        <w:spacing w:before="80" w:line="240" w:lineRule="auto"/>
        <w:rPr>
          <w:rFonts w:asciiTheme="minorHAnsi" w:hAnsiTheme="minorHAnsi" w:cstheme="minorHAnsi"/>
          <w:b/>
          <w:bCs/>
          <w:sz w:val="22"/>
          <w:szCs w:val="22"/>
        </w:rPr>
      </w:pPr>
      <w:r w:rsidRPr="00F646B2">
        <w:rPr>
          <w:rFonts w:asciiTheme="minorHAnsi" w:hAnsiTheme="minorHAnsi" w:cstheme="minorHAnsi"/>
          <w:b/>
          <w:bCs/>
          <w:sz w:val="22"/>
          <w:szCs w:val="22"/>
        </w:rPr>
        <w:t>NHỮNG ĐIỂM LOẠI TRỪ</w:t>
      </w:r>
      <w:r w:rsidRPr="00F646B2">
        <w:rPr>
          <w:rFonts w:asciiTheme="minorHAnsi" w:hAnsiTheme="minorHAnsi" w:cstheme="minorHAnsi"/>
          <w:b/>
          <w:bCs/>
          <w:sz w:val="22"/>
          <w:szCs w:val="22"/>
        </w:rPr>
        <w:br/>
      </w:r>
    </w:p>
    <w:p w:rsidR="000800B9" w:rsidRPr="00F646B2" w:rsidRDefault="0060019F" w:rsidP="00B729DC">
      <w:pPr>
        <w:pStyle w:val="CM9"/>
        <w:spacing w:before="60" w:after="60"/>
        <w:rPr>
          <w:rFonts w:asciiTheme="minorHAnsi" w:hAnsiTheme="minorHAnsi" w:cstheme="minorHAnsi"/>
          <w:sz w:val="22"/>
          <w:szCs w:val="22"/>
        </w:rPr>
      </w:pPr>
      <w:r w:rsidRPr="00F646B2">
        <w:rPr>
          <w:rFonts w:asciiTheme="minorHAnsi" w:hAnsiTheme="minorHAnsi" w:cstheme="minorHAnsi"/>
          <w:sz w:val="22"/>
          <w:szCs w:val="22"/>
        </w:rPr>
        <w:t>Bảo Hiểm AAA</w:t>
      </w:r>
      <w:r w:rsidR="00B729DC" w:rsidRPr="00F646B2">
        <w:rPr>
          <w:rFonts w:asciiTheme="minorHAnsi" w:hAnsiTheme="minorHAnsi" w:cstheme="minorHAnsi"/>
          <w:b/>
          <w:bCs/>
          <w:sz w:val="22"/>
          <w:szCs w:val="22"/>
        </w:rPr>
        <w:t xml:space="preserve"> </w:t>
      </w:r>
      <w:r w:rsidR="00B729DC" w:rsidRPr="00F646B2">
        <w:rPr>
          <w:rFonts w:asciiTheme="minorHAnsi" w:hAnsiTheme="minorHAnsi" w:cstheme="minorHAnsi"/>
          <w:sz w:val="22"/>
          <w:szCs w:val="22"/>
        </w:rPr>
        <w:t xml:space="preserve">sẽ không chịu tránh nhiệm bồi thường đối với: </w:t>
      </w:r>
    </w:p>
    <w:p w:rsidR="00B729DC" w:rsidRPr="00F646B2" w:rsidRDefault="00B729DC" w:rsidP="000800B9">
      <w:pPr>
        <w:pStyle w:val="CM9"/>
        <w:numPr>
          <w:ilvl w:val="0"/>
          <w:numId w:val="4"/>
        </w:numPr>
        <w:tabs>
          <w:tab w:val="clear" w:pos="720"/>
        </w:tabs>
        <w:spacing w:before="60" w:after="60"/>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mất mát, phá hủy hoặc tổn thất đối với tài sản hoặc thiệt hại hay chi phí là hậu quả hay phát </w:t>
      </w:r>
      <w:r w:rsidRPr="00F646B2">
        <w:rPr>
          <w:rFonts w:asciiTheme="minorHAnsi" w:hAnsiTheme="minorHAnsi" w:cstheme="minorHAnsi"/>
          <w:sz w:val="22"/>
          <w:szCs w:val="22"/>
        </w:rPr>
        <w:br/>
        <w:t xml:space="preserve">sinh từ hoặc là tổn thất hậu quả của các nguyên nhân trực tiếp hay gián tiếp hay có thể quy cho bức xạ ion hoá hoặc nhiễm phóng xạ do nhiên liệu hạt nhân hoặc do chất thải từ đốt cháy nhiên liệu hạt nhân, </w:t>
      </w:r>
    </w:p>
    <w:p w:rsidR="000800B9" w:rsidRPr="00F646B2" w:rsidRDefault="00B729DC" w:rsidP="000800B9">
      <w:pPr>
        <w:pStyle w:val="CM9"/>
        <w:numPr>
          <w:ilvl w:val="0"/>
          <w:numId w:val="4"/>
        </w:numPr>
        <w:tabs>
          <w:tab w:val="clear" w:pos="720"/>
        </w:tabs>
        <w:spacing w:before="60" w:after="60"/>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tổn thất do cháy hoặc nổ do mọi nguyên nhân, </w:t>
      </w:r>
    </w:p>
    <w:p w:rsidR="000800B9" w:rsidRPr="00F646B2" w:rsidRDefault="00B729DC" w:rsidP="000800B9">
      <w:pPr>
        <w:pStyle w:val="CM9"/>
        <w:numPr>
          <w:ilvl w:val="0"/>
          <w:numId w:val="4"/>
        </w:numPr>
        <w:tabs>
          <w:tab w:val="clear" w:pos="720"/>
        </w:tabs>
        <w:spacing w:before="60" w:after="60"/>
        <w:ind w:left="360"/>
        <w:jc w:val="both"/>
        <w:rPr>
          <w:rFonts w:asciiTheme="minorHAnsi" w:hAnsiTheme="minorHAnsi" w:cstheme="minorHAnsi"/>
          <w:sz w:val="22"/>
          <w:szCs w:val="22"/>
        </w:rPr>
      </w:pPr>
      <w:r w:rsidRPr="00F646B2">
        <w:rPr>
          <w:rFonts w:asciiTheme="minorHAnsi" w:hAnsiTheme="minorHAnsi" w:cstheme="minorHAnsi"/>
          <w:sz w:val="22"/>
          <w:szCs w:val="22"/>
        </w:rPr>
        <w:t>tổn thất xảy ra đối với thủy tinh màu, kính, vật trang trí hoặc các biển chữ gắn trên đó,</w:t>
      </w:r>
    </w:p>
    <w:p w:rsidR="00B729DC" w:rsidRPr="00F646B2" w:rsidRDefault="00B729DC" w:rsidP="000800B9">
      <w:pPr>
        <w:pStyle w:val="CM9"/>
        <w:numPr>
          <w:ilvl w:val="0"/>
          <w:numId w:val="4"/>
        </w:numPr>
        <w:tabs>
          <w:tab w:val="clear" w:pos="720"/>
        </w:tabs>
        <w:spacing w:before="60" w:after="60"/>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tổn thất hay thiệt hại do người sống hợp pháp trong ngôi nhà gây nên, hoặc trực tiếp hay gián tiếp gây nên bởi hay quy kết cho hay cùng với sự đồng lõa của người cư trú trong nhà hoặc thành viên trong gia đình Người được bảo hiểm hoặc nhân viên hay người phục vụ của Người được bảo hiểm, </w:t>
      </w:r>
    </w:p>
    <w:p w:rsidR="00B729DC" w:rsidRPr="00F646B2" w:rsidRDefault="00B729DC" w:rsidP="00257E3C">
      <w:pPr>
        <w:pStyle w:val="CM9"/>
        <w:numPr>
          <w:ilvl w:val="0"/>
          <w:numId w:val="4"/>
        </w:numPr>
        <w:tabs>
          <w:tab w:val="clear" w:pos="720"/>
        </w:tabs>
        <w:spacing w:before="60" w:after="60"/>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tổn thất hay thiệt hại về tiền mặt, chứng khoán, tiền kim loại, huy chương, con dấu, bộ sưu tập tem, đồ trang sức, đồng hồ, lông thú, kim loại quý, đá quý, hoặc những chi tiết đi kèm với những vật đó, tài liệu sổ sách chuyên môn, số liệu máy tính, bản thảo, những tác phẩm điêu khắc cổ, sách hiếm, mẫu máy móc, mô hình, đồ án, thiết kế, xì gà, thuốc lá trừ khi có thoả thuận đặc biệt khác, </w:t>
      </w:r>
    </w:p>
    <w:p w:rsidR="00B729DC" w:rsidRPr="00F646B2" w:rsidRDefault="00B729DC" w:rsidP="00257E3C">
      <w:pPr>
        <w:pStyle w:val="CM9"/>
        <w:numPr>
          <w:ilvl w:val="0"/>
          <w:numId w:val="4"/>
        </w:numPr>
        <w:tabs>
          <w:tab w:val="clear" w:pos="720"/>
        </w:tabs>
        <w:spacing w:before="60" w:after="60"/>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tổn thất đối với tài sản, trừ khi phần còn lại của ngôi nhà được sử dụng để ở một cách bình thường như nhà riêng của Người được bảo hiểm hoặc của người làm công được Người được bảo hiểm thuê trông nom, </w:t>
      </w:r>
    </w:p>
    <w:p w:rsidR="00B729DC" w:rsidRPr="00F646B2" w:rsidRDefault="00B729DC" w:rsidP="00257E3C">
      <w:pPr>
        <w:pStyle w:val="CM9"/>
        <w:numPr>
          <w:ilvl w:val="0"/>
          <w:numId w:val="4"/>
        </w:numPr>
        <w:tabs>
          <w:tab w:val="clear" w:pos="720"/>
        </w:tabs>
        <w:spacing w:before="60" w:after="60"/>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bất kỳ hậu quả nào của chiến tranh xâm lược, hành động thù địch của nước ngoài (bất kể tuyên chiến hay không tuyên chiến), nội chiến, nổi loạn, cách mạng, khởi nghĩa, đảo chính, tiếm quyền, binh biến hoặc bạo động. </w:t>
      </w:r>
    </w:p>
    <w:p w:rsidR="00B729DC" w:rsidRPr="00F646B2" w:rsidRDefault="00B729DC" w:rsidP="00B729DC">
      <w:pPr>
        <w:pStyle w:val="CM9"/>
        <w:spacing w:before="80" w:after="0"/>
        <w:rPr>
          <w:rFonts w:asciiTheme="minorHAnsi" w:hAnsiTheme="minorHAnsi" w:cstheme="minorHAnsi"/>
          <w:b/>
          <w:bCs/>
          <w:sz w:val="22"/>
          <w:szCs w:val="22"/>
        </w:rPr>
      </w:pPr>
    </w:p>
    <w:p w:rsidR="00B729DC" w:rsidRPr="00F646B2" w:rsidRDefault="00B729DC" w:rsidP="00B729DC">
      <w:pPr>
        <w:pStyle w:val="CM9"/>
        <w:spacing w:before="80" w:after="0"/>
        <w:rPr>
          <w:rFonts w:asciiTheme="minorHAnsi" w:hAnsiTheme="minorHAnsi" w:cstheme="minorHAnsi"/>
          <w:sz w:val="22"/>
          <w:szCs w:val="22"/>
        </w:rPr>
      </w:pPr>
      <w:r w:rsidRPr="00F646B2">
        <w:rPr>
          <w:rFonts w:asciiTheme="minorHAnsi" w:hAnsiTheme="minorHAnsi" w:cstheme="minorHAnsi"/>
          <w:b/>
          <w:bCs/>
          <w:sz w:val="22"/>
          <w:szCs w:val="22"/>
        </w:rPr>
        <w:lastRenderedPageBreak/>
        <w:t xml:space="preserve">GIỚI HẠN TRÁCH NHIỆM </w:t>
      </w:r>
    </w:p>
    <w:p w:rsidR="000800B9" w:rsidRPr="00F646B2" w:rsidRDefault="00B729DC" w:rsidP="000800B9">
      <w:pPr>
        <w:pStyle w:val="CM2"/>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Trách nhiệm của </w:t>
      </w:r>
      <w:r w:rsidR="0060019F" w:rsidRPr="00F646B2">
        <w:rPr>
          <w:rFonts w:asciiTheme="minorHAnsi" w:hAnsiTheme="minorHAnsi" w:cstheme="minorHAnsi"/>
          <w:sz w:val="22"/>
          <w:szCs w:val="22"/>
        </w:rPr>
        <w:t>Bảo Hiểm AAA</w:t>
      </w:r>
      <w:r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theo Quy tắc bảo hiểm này sẽ không vượt quá:</w:t>
      </w:r>
    </w:p>
    <w:p w:rsidR="000800B9" w:rsidRPr="00F646B2" w:rsidRDefault="00B729DC" w:rsidP="004D46CC">
      <w:pPr>
        <w:pStyle w:val="CM2"/>
        <w:numPr>
          <w:ilvl w:val="0"/>
          <w:numId w:val="8"/>
        </w:numPr>
        <w:tabs>
          <w:tab w:val="clear" w:pos="720"/>
        </w:tabs>
        <w:spacing w:before="80" w:line="240" w:lineRule="auto"/>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đối với từng hạng mục tài sản - số tiền bảo hiểm tương ứng của hạng mục tài sản đó, </w:t>
      </w:r>
    </w:p>
    <w:p w:rsidR="000800B9" w:rsidRPr="00F646B2" w:rsidRDefault="00B729DC" w:rsidP="004D46CC">
      <w:pPr>
        <w:pStyle w:val="CM2"/>
        <w:numPr>
          <w:ilvl w:val="0"/>
          <w:numId w:val="8"/>
        </w:numPr>
        <w:tabs>
          <w:tab w:val="clear" w:pos="720"/>
        </w:tabs>
        <w:spacing w:before="80" w:line="240" w:lineRule="auto"/>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đối với những thiệt hại của ngôi nhà </w:t>
      </w:r>
      <w:r w:rsidR="000800B9" w:rsidRPr="00F646B2">
        <w:rPr>
          <w:rFonts w:asciiTheme="minorHAnsi" w:hAnsiTheme="minorHAnsi" w:cstheme="minorHAnsi"/>
          <w:sz w:val="22"/>
          <w:szCs w:val="22"/>
        </w:rPr>
        <w:t xml:space="preserve">– </w:t>
      </w:r>
      <w:r w:rsidRPr="00F646B2">
        <w:rPr>
          <w:rFonts w:asciiTheme="minorHAnsi" w:hAnsiTheme="minorHAnsi" w:cstheme="minorHAnsi"/>
          <w:sz w:val="22"/>
          <w:szCs w:val="22"/>
        </w:rPr>
        <w:t>s</w:t>
      </w:r>
      <w:r w:rsidR="000800B9" w:rsidRPr="00F646B2">
        <w:rPr>
          <w:rFonts w:asciiTheme="minorHAnsi" w:hAnsiTheme="minorHAnsi" w:cstheme="minorHAnsi"/>
          <w:sz w:val="22"/>
          <w:szCs w:val="22"/>
        </w:rPr>
        <w:t>ố</w:t>
      </w:r>
      <w:r w:rsidRPr="00F646B2">
        <w:rPr>
          <w:rFonts w:asciiTheme="minorHAnsi" w:hAnsiTheme="minorHAnsi" w:cstheme="minorHAnsi"/>
          <w:sz w:val="22"/>
          <w:szCs w:val="22"/>
        </w:rPr>
        <w:t xml:space="preserve"> tiền đủ để sửa chữa ngôi nhà bị hư hỏng mà Người được bảo hiểm chịu trách nhiệm, </w:t>
      </w:r>
    </w:p>
    <w:p w:rsidR="000800B9" w:rsidRPr="00F646B2" w:rsidRDefault="00B729DC" w:rsidP="004D46CC">
      <w:pPr>
        <w:pStyle w:val="CM2"/>
        <w:numPr>
          <w:ilvl w:val="0"/>
          <w:numId w:val="8"/>
        </w:numPr>
        <w:tabs>
          <w:tab w:val="clear" w:pos="720"/>
        </w:tabs>
        <w:spacing w:before="80" w:line="240" w:lineRule="auto"/>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đối với toàn bộ tài sản bị tổn thất hay thiệt hại- tổng số tiền bảo hiểm. </w:t>
      </w:r>
    </w:p>
    <w:p w:rsidR="000800B9" w:rsidRPr="00F646B2" w:rsidRDefault="00B729DC" w:rsidP="000800B9">
      <w:pPr>
        <w:pStyle w:val="CM2"/>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Khi số tiền bảo hiểm được xác định trên cơ sở toàn bộ giá trị hợp đồng (không kể phần hư hỏng ngôi nhà do kẻ trộm gây ra) phải tuân theo điều kiện phân bổ tổn thất (toàn bộ giá trị tài sản) nghĩa là nếu tài sản được bảo hiểm tại thời điểm xảy ra tổn thất có giá trị lớn hơn số tiền bảo hiểm thì Người được bảo hiểm chỉ được bồi thường một phần tổn thất ứng với tỷ lệ của số tiền bảo hiểm chia cho toàn bộ giá trị thực tế của tài sản. Nếu có từ hai hạng mục tài sản trở lên được bảo hiểm theo Quy tắc này với những số tiền bảo hiểm quy định riêng cho từng hạng mục thì từng hạng mục tuân theo điều kiện phân bổ tổn thất một cách riêng biệt. </w:t>
      </w:r>
    </w:p>
    <w:p w:rsidR="000800B9" w:rsidRPr="00F646B2" w:rsidRDefault="00B729DC" w:rsidP="000800B9">
      <w:pPr>
        <w:pStyle w:val="CM2"/>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Hoặc: </w:t>
      </w:r>
    </w:p>
    <w:p w:rsidR="00B729DC" w:rsidRPr="00F646B2" w:rsidRDefault="00B729DC" w:rsidP="000800B9">
      <w:pPr>
        <w:pStyle w:val="CM2"/>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Khi số tiền bảo hiểm được xác định trên cơ sở tổn thất đầu tiên (“một phần giá trị tài sản”), Quy tắc bảo hiểm này (không kể phần hư hỏng ngôi nhà do kẻ trộm gây ra) phải tuân theo điều kiện phân bố tổn thất (tổn thất đầu tiên), nghĩa là nếu toàn bộ giá trị tài sản của tài sản được bảo hiểm tại thời điểm xảy ra tổn thất lớn hơn giá trị công bố trong Giấy yêu cầu bảo hiểm thì Người được bảo hiểm chỉ được bồi thường một phần tổn thất ứng với tỷ lệ của giá trị công bố trong Giấy yêu cầu bảo hiểm chia cho giá trị toàn bộ tài sản, nhưng không vượt quá số tiền bảo hiểm ghi trong Giấy yêu cầu bảo hiểm. </w:t>
      </w:r>
    </w:p>
    <w:p w:rsidR="00B729DC" w:rsidRPr="00F646B2" w:rsidRDefault="00B729DC" w:rsidP="00B729DC">
      <w:pPr>
        <w:pStyle w:val="Default"/>
        <w:spacing w:before="80"/>
        <w:rPr>
          <w:rFonts w:asciiTheme="minorHAnsi" w:hAnsiTheme="minorHAnsi" w:cstheme="minorHAnsi"/>
          <w:color w:val="auto"/>
          <w:sz w:val="22"/>
          <w:szCs w:val="22"/>
        </w:rPr>
      </w:pPr>
    </w:p>
    <w:p w:rsidR="00B729DC" w:rsidRPr="00F646B2" w:rsidRDefault="00B729DC" w:rsidP="00B729DC">
      <w:pPr>
        <w:pStyle w:val="CM9"/>
        <w:spacing w:before="80" w:after="0"/>
        <w:rPr>
          <w:rFonts w:asciiTheme="minorHAnsi" w:hAnsiTheme="minorHAnsi" w:cstheme="minorHAnsi"/>
          <w:sz w:val="22"/>
          <w:szCs w:val="22"/>
        </w:rPr>
      </w:pPr>
      <w:r w:rsidRPr="00F646B2">
        <w:rPr>
          <w:rFonts w:asciiTheme="minorHAnsi" w:hAnsiTheme="minorHAnsi" w:cstheme="minorHAnsi"/>
          <w:b/>
          <w:bCs/>
          <w:sz w:val="22"/>
          <w:szCs w:val="22"/>
        </w:rPr>
        <w:t xml:space="preserve">ĐIỀU KIỆN BẢO HIỂM </w:t>
      </w:r>
    </w:p>
    <w:p w:rsidR="00B729DC" w:rsidRPr="00F646B2" w:rsidRDefault="00B729DC" w:rsidP="00E82D94">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Khi phát sinh bất kỳ sự cố nào có thể dẫn đến việc khiếu nại theo Quy tắc n</w:t>
      </w:r>
      <w:r w:rsidR="000800B9" w:rsidRPr="00F646B2">
        <w:rPr>
          <w:rFonts w:asciiTheme="minorHAnsi" w:hAnsiTheme="minorHAnsi" w:cstheme="minorHAnsi"/>
          <w:sz w:val="22"/>
          <w:szCs w:val="22"/>
        </w:rPr>
        <w:t>à</w:t>
      </w:r>
      <w:r w:rsidRPr="00F646B2">
        <w:rPr>
          <w:rFonts w:asciiTheme="minorHAnsi" w:hAnsiTheme="minorHAnsi" w:cstheme="minorHAnsi"/>
          <w:sz w:val="22"/>
          <w:szCs w:val="22"/>
        </w:rPr>
        <w:t xml:space="preserve">y, Người được bảo hiểm có trách nhiệm ngay lập tức: </w:t>
      </w:r>
    </w:p>
    <w:p w:rsidR="00B729DC" w:rsidRPr="00F646B2" w:rsidRDefault="00B729DC" w:rsidP="00C018D3">
      <w:pPr>
        <w:pStyle w:val="CM6"/>
        <w:numPr>
          <w:ilvl w:val="1"/>
          <w:numId w:val="6"/>
        </w:numPr>
        <w:tabs>
          <w:tab w:val="clear" w:pos="1081"/>
        </w:tabs>
        <w:spacing w:before="80" w:line="240" w:lineRule="auto"/>
        <w:ind w:left="720"/>
        <w:jc w:val="both"/>
        <w:rPr>
          <w:rFonts w:asciiTheme="minorHAnsi" w:hAnsiTheme="minorHAnsi" w:cstheme="minorHAnsi"/>
          <w:sz w:val="22"/>
          <w:szCs w:val="22"/>
        </w:rPr>
      </w:pPr>
      <w:r w:rsidRPr="00F646B2">
        <w:rPr>
          <w:rFonts w:asciiTheme="minorHAnsi" w:hAnsiTheme="minorHAnsi" w:cstheme="minorHAnsi"/>
          <w:sz w:val="22"/>
          <w:szCs w:val="22"/>
        </w:rPr>
        <w:t xml:space="preserve">thông báo cho công an và dành mọi sự giúp đỡ hợp lý để có thể tìm ra, trừng phạt kẻ có tội và tìm ra tài sản bị mất cắp, </w:t>
      </w:r>
    </w:p>
    <w:p w:rsidR="00B729DC" w:rsidRPr="00F646B2" w:rsidRDefault="00B729DC" w:rsidP="00C018D3">
      <w:pPr>
        <w:pStyle w:val="CM6"/>
        <w:numPr>
          <w:ilvl w:val="1"/>
          <w:numId w:val="6"/>
        </w:numPr>
        <w:tabs>
          <w:tab w:val="clear" w:pos="1081"/>
        </w:tabs>
        <w:spacing w:before="80" w:line="240" w:lineRule="auto"/>
        <w:ind w:left="720"/>
        <w:jc w:val="both"/>
        <w:rPr>
          <w:rFonts w:asciiTheme="minorHAnsi" w:hAnsiTheme="minorHAnsi" w:cstheme="minorHAnsi"/>
          <w:sz w:val="22"/>
          <w:szCs w:val="22"/>
        </w:rPr>
      </w:pPr>
      <w:r w:rsidRPr="00F646B2">
        <w:rPr>
          <w:rFonts w:asciiTheme="minorHAnsi" w:hAnsiTheme="minorHAnsi" w:cstheme="minorHAnsi"/>
          <w:sz w:val="22"/>
          <w:szCs w:val="22"/>
        </w:rPr>
        <w:t xml:space="preserve">thông báo cho </w:t>
      </w:r>
      <w:r w:rsidR="0060019F" w:rsidRPr="00F646B2">
        <w:rPr>
          <w:rFonts w:asciiTheme="minorHAnsi" w:hAnsiTheme="minorHAnsi" w:cstheme="minorHAnsi"/>
          <w:sz w:val="22"/>
          <w:szCs w:val="22"/>
        </w:rPr>
        <w:t>Bảo Hiểm AAA</w:t>
      </w:r>
      <w:r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bằng văn bản và trong vòng 07 ngày sau đó gửi cho </w:t>
      </w:r>
      <w:r w:rsidR="0060019F" w:rsidRPr="00F646B2">
        <w:rPr>
          <w:rFonts w:asciiTheme="minorHAnsi" w:hAnsiTheme="minorHAnsi" w:cstheme="minorHAnsi"/>
          <w:sz w:val="22"/>
          <w:szCs w:val="22"/>
        </w:rPr>
        <w:t>Bảo Hiểm AAA</w:t>
      </w:r>
      <w:r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hồ sơ khiếu nại bồi thường cùng với tất cả những bằng chứng chi tiết và cụ thể khi được yêu cầu. </w:t>
      </w:r>
    </w:p>
    <w:p w:rsidR="00B729DC" w:rsidRPr="00F646B2" w:rsidRDefault="00B729DC" w:rsidP="00E82D94">
      <w:pPr>
        <w:pStyle w:val="CM7"/>
        <w:spacing w:before="80" w:line="240" w:lineRule="auto"/>
        <w:ind w:left="283"/>
        <w:jc w:val="both"/>
        <w:rPr>
          <w:rFonts w:asciiTheme="minorHAnsi" w:hAnsiTheme="minorHAnsi" w:cstheme="minorHAnsi"/>
          <w:sz w:val="22"/>
          <w:szCs w:val="22"/>
        </w:rPr>
      </w:pPr>
      <w:r w:rsidRPr="00F646B2">
        <w:rPr>
          <w:rFonts w:asciiTheme="minorHAnsi" w:hAnsiTheme="minorHAnsi" w:cstheme="minorHAnsi"/>
          <w:sz w:val="22"/>
          <w:szCs w:val="22"/>
        </w:rPr>
        <w:t xml:space="preserve">Trong mọi trường hợp, </w:t>
      </w:r>
      <w:r w:rsidR="0060019F" w:rsidRPr="00F646B2">
        <w:rPr>
          <w:rFonts w:asciiTheme="minorHAnsi" w:hAnsiTheme="minorHAnsi" w:cstheme="minorHAnsi"/>
          <w:sz w:val="22"/>
          <w:szCs w:val="22"/>
        </w:rPr>
        <w:t>Bảo Hiểm AAA</w:t>
      </w:r>
      <w:r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sẽ không chịu trách nhiệm đối với bất kỳ tổn thất hay thiệt hại nào nếu không được thông báo trong vòng 30 ngày kể từ khi sự cố xảy ra. </w:t>
      </w:r>
    </w:p>
    <w:p w:rsidR="00B729DC" w:rsidRPr="00F646B2" w:rsidRDefault="00B729DC"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Người được bảo hiểm phải áp dụng mọi biện pháp phòng ngừa hợp lý để bảo đảm an toàn cho tài sản, bao gồm cả</w:t>
      </w:r>
      <w:r w:rsidR="004D46CC" w:rsidRPr="00F646B2">
        <w:rPr>
          <w:rFonts w:asciiTheme="minorHAnsi" w:hAnsiTheme="minorHAnsi" w:cstheme="minorHAnsi"/>
          <w:sz w:val="22"/>
          <w:szCs w:val="22"/>
        </w:rPr>
        <w:t xml:space="preserve"> </w:t>
      </w:r>
      <w:r w:rsidRPr="00F646B2">
        <w:rPr>
          <w:rFonts w:asciiTheme="minorHAnsi" w:hAnsiTheme="minorHAnsi" w:cstheme="minorHAnsi"/>
          <w:sz w:val="22"/>
          <w:szCs w:val="22"/>
        </w:rPr>
        <w:t xml:space="preserve">(a) việc lựa chọn và theo dõi người làm thuê, (b) việc bảo đảm an toàn cho tất cả các cửa ra vào, cửa sổ và các lối vào khác. </w:t>
      </w:r>
    </w:p>
    <w:p w:rsidR="00B729DC" w:rsidRPr="00F646B2" w:rsidRDefault="00B729DC"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Trong trường hợp khiếu nại đòi </w:t>
      </w:r>
      <w:r w:rsidR="0060019F" w:rsidRPr="00F646B2">
        <w:rPr>
          <w:rFonts w:asciiTheme="minorHAnsi" w:hAnsiTheme="minorHAnsi" w:cstheme="minorHAnsi"/>
          <w:sz w:val="22"/>
          <w:szCs w:val="22"/>
        </w:rPr>
        <w:t>Bảo Hiểm AAA</w:t>
      </w:r>
      <w:r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bồi thường theo Quy tắc này: </w:t>
      </w:r>
    </w:p>
    <w:p w:rsidR="00B729DC" w:rsidRPr="00F646B2" w:rsidRDefault="00B729DC" w:rsidP="00C018D3">
      <w:pPr>
        <w:pStyle w:val="CM6"/>
        <w:numPr>
          <w:ilvl w:val="1"/>
          <w:numId w:val="6"/>
        </w:numPr>
        <w:tabs>
          <w:tab w:val="clear" w:pos="1081"/>
        </w:tabs>
        <w:spacing w:before="80" w:line="240" w:lineRule="auto"/>
        <w:ind w:left="720"/>
        <w:jc w:val="both"/>
        <w:rPr>
          <w:rFonts w:asciiTheme="minorHAnsi" w:hAnsiTheme="minorHAnsi" w:cstheme="minorHAnsi"/>
          <w:sz w:val="22"/>
          <w:szCs w:val="22"/>
        </w:rPr>
      </w:pPr>
      <w:r w:rsidRPr="00F646B2">
        <w:rPr>
          <w:rFonts w:asciiTheme="minorHAnsi" w:hAnsiTheme="minorHAnsi" w:cstheme="minorHAnsi"/>
          <w:sz w:val="22"/>
          <w:szCs w:val="22"/>
        </w:rPr>
        <w:t xml:space="preserve">Người được bảo hiểm phải thoả mãn đầy đủ yêu cầu của </w:t>
      </w:r>
      <w:r w:rsidR="0060019F" w:rsidRPr="00F646B2">
        <w:rPr>
          <w:rFonts w:asciiTheme="minorHAnsi" w:hAnsiTheme="minorHAnsi" w:cstheme="minorHAnsi"/>
          <w:sz w:val="22"/>
          <w:szCs w:val="22"/>
        </w:rPr>
        <w:t>Bảo Hiểm AAA</w:t>
      </w:r>
      <w:r w:rsidRPr="00F646B2">
        <w:rPr>
          <w:rFonts w:asciiTheme="minorHAnsi" w:hAnsiTheme="minorHAnsi" w:cstheme="minorHAnsi"/>
          <w:sz w:val="22"/>
          <w:szCs w:val="22"/>
        </w:rPr>
        <w:t xml:space="preserve"> về mọi chứng cứ chứng minh rằng tổn thất thực sự đã xảy ra do một trong những rủi ro đã được bảo hiểm gây nên và tài sản đòi bồi thường không phải bị thất lạc hoặc mất tích, </w:t>
      </w:r>
    </w:p>
    <w:p w:rsidR="00B729DC" w:rsidRPr="00F646B2" w:rsidRDefault="00B729DC" w:rsidP="00C018D3">
      <w:pPr>
        <w:pStyle w:val="CM6"/>
        <w:numPr>
          <w:ilvl w:val="1"/>
          <w:numId w:val="6"/>
        </w:numPr>
        <w:tabs>
          <w:tab w:val="clear" w:pos="1081"/>
        </w:tabs>
        <w:spacing w:before="80" w:line="240" w:lineRule="auto"/>
        <w:ind w:left="720"/>
        <w:jc w:val="both"/>
        <w:rPr>
          <w:rFonts w:asciiTheme="minorHAnsi" w:hAnsiTheme="minorHAnsi" w:cstheme="minorHAnsi"/>
          <w:sz w:val="22"/>
          <w:szCs w:val="22"/>
        </w:rPr>
      </w:pPr>
      <w:r w:rsidRPr="00F646B2">
        <w:rPr>
          <w:rFonts w:asciiTheme="minorHAnsi" w:hAnsiTheme="minorHAnsi" w:cstheme="minorHAnsi"/>
          <w:sz w:val="22"/>
          <w:szCs w:val="22"/>
        </w:rPr>
        <w:t xml:space="preserve">bất kỳ lúc nào </w:t>
      </w:r>
      <w:r w:rsidR="0060019F" w:rsidRPr="00F646B2">
        <w:rPr>
          <w:rFonts w:asciiTheme="minorHAnsi" w:hAnsiTheme="minorHAnsi" w:cstheme="minorHAnsi"/>
          <w:sz w:val="22"/>
          <w:szCs w:val="22"/>
        </w:rPr>
        <w:t>Bảo Hiểm AAA</w:t>
      </w:r>
      <w:r w:rsidRPr="00F646B2">
        <w:rPr>
          <w:rFonts w:asciiTheme="minorHAnsi" w:hAnsiTheme="minorHAnsi" w:cstheme="minorHAnsi"/>
          <w:sz w:val="22"/>
          <w:szCs w:val="22"/>
        </w:rPr>
        <w:t xml:space="preserve"> cũng có thể thay mặt Người được bảo hiểm và bằng chi phí của mình, tiến hành mọi biện pháp phù hợp để thu hồi tài sản bị tổn thất và Người được bảo hiểm có nghĩa vụ giúp đỡ </w:t>
      </w:r>
      <w:r w:rsidR="0060019F" w:rsidRPr="00F646B2">
        <w:rPr>
          <w:rFonts w:asciiTheme="minorHAnsi" w:hAnsiTheme="minorHAnsi" w:cstheme="minorHAnsi"/>
          <w:sz w:val="22"/>
          <w:szCs w:val="22"/>
        </w:rPr>
        <w:t>Bảo Hiểm AAA</w:t>
      </w:r>
      <w:r w:rsidRPr="00F646B2">
        <w:rPr>
          <w:rFonts w:asciiTheme="minorHAnsi" w:hAnsiTheme="minorHAnsi" w:cstheme="minorHAnsi"/>
          <w:sz w:val="22"/>
          <w:szCs w:val="22"/>
        </w:rPr>
        <w:t xml:space="preserve"> thực hiện</w:t>
      </w:r>
      <w:r w:rsidR="00D8087C" w:rsidRPr="00F646B2">
        <w:rPr>
          <w:rFonts w:asciiTheme="minorHAnsi" w:hAnsiTheme="minorHAnsi" w:cstheme="minorHAnsi"/>
          <w:sz w:val="22"/>
          <w:szCs w:val="22"/>
        </w:rPr>
        <w:t xml:space="preserve"> </w:t>
      </w:r>
      <w:r w:rsidRPr="00F646B2">
        <w:rPr>
          <w:rFonts w:asciiTheme="minorHAnsi" w:hAnsiTheme="minorHAnsi" w:cstheme="minorHAnsi"/>
          <w:sz w:val="22"/>
          <w:szCs w:val="22"/>
        </w:rPr>
        <w:t xml:space="preserve">các biện pháp này, </w:t>
      </w:r>
    </w:p>
    <w:p w:rsidR="00B729DC" w:rsidRPr="00F646B2" w:rsidRDefault="0060019F" w:rsidP="00C018D3">
      <w:pPr>
        <w:pStyle w:val="CM6"/>
        <w:numPr>
          <w:ilvl w:val="1"/>
          <w:numId w:val="6"/>
        </w:numPr>
        <w:tabs>
          <w:tab w:val="clear" w:pos="1081"/>
        </w:tabs>
        <w:spacing w:before="80" w:line="240" w:lineRule="auto"/>
        <w:ind w:left="720"/>
        <w:jc w:val="both"/>
        <w:rPr>
          <w:rFonts w:asciiTheme="minorHAnsi" w:hAnsiTheme="minorHAnsi" w:cstheme="minorHAnsi"/>
          <w:sz w:val="22"/>
          <w:szCs w:val="22"/>
        </w:rPr>
      </w:pPr>
      <w:r w:rsidRPr="00F646B2">
        <w:rPr>
          <w:rFonts w:asciiTheme="minorHAnsi" w:hAnsiTheme="minorHAnsi" w:cstheme="minorHAnsi"/>
          <w:sz w:val="22"/>
          <w:szCs w:val="22"/>
        </w:rPr>
        <w:t>Bảo Hiểm AAA</w:t>
      </w:r>
      <w:r w:rsidR="00B729DC" w:rsidRPr="00F646B2">
        <w:rPr>
          <w:rFonts w:asciiTheme="minorHAnsi" w:hAnsiTheme="minorHAnsi" w:cstheme="minorHAnsi"/>
          <w:sz w:val="22"/>
          <w:szCs w:val="22"/>
        </w:rPr>
        <w:t xml:space="preserve"> có quyền sở hữu những tài sản bị tổn thất mà </w:t>
      </w:r>
      <w:r w:rsidRPr="00F646B2">
        <w:rPr>
          <w:rFonts w:asciiTheme="minorHAnsi" w:hAnsiTheme="minorHAnsi" w:cstheme="minorHAnsi"/>
          <w:sz w:val="22"/>
          <w:szCs w:val="22"/>
        </w:rPr>
        <w:t>Bảo Hiểm AAA</w:t>
      </w:r>
      <w:r w:rsidR="00B729DC" w:rsidRPr="00F646B2">
        <w:rPr>
          <w:rFonts w:asciiTheme="minorHAnsi" w:hAnsiTheme="minorHAnsi" w:cstheme="minorHAnsi"/>
          <w:sz w:val="22"/>
          <w:szCs w:val="22"/>
        </w:rPr>
        <w:t xml:space="preserve"> đã bồi thường và Người được bảo hiểm có nhiệm vụ làm mọi thủ tục chuyển nhượng và đảm bảo an toàn cho những tài sản này, nhưng Người được bảo hiểm không có quyền từ bỏ tài sản cho </w:t>
      </w:r>
      <w:r w:rsidRPr="00F646B2">
        <w:rPr>
          <w:rFonts w:asciiTheme="minorHAnsi" w:hAnsiTheme="minorHAnsi" w:cstheme="minorHAnsi"/>
          <w:sz w:val="22"/>
          <w:szCs w:val="22"/>
        </w:rPr>
        <w:t>Bảo Hiểm AAA</w:t>
      </w:r>
      <w:r w:rsidR="00B729DC" w:rsidRPr="00F646B2">
        <w:rPr>
          <w:rFonts w:asciiTheme="minorHAnsi" w:hAnsiTheme="minorHAnsi" w:cstheme="minorHAnsi"/>
          <w:sz w:val="22"/>
          <w:szCs w:val="22"/>
        </w:rPr>
        <w:t xml:space="preserve"> . </w:t>
      </w:r>
    </w:p>
    <w:p w:rsidR="00B729DC" w:rsidRPr="00F646B2" w:rsidRDefault="00B729DC"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Không có một khiếu nại nào được bồi thường theo Quy tắc này: a) nếu có sự thay đổi về ngôi nhà hoặc các điều kiện rủi ro so với lúc nhận bảo hiểm, hoặc b) nếu giá trị thực của tài sản trong ngôi nh</w:t>
      </w:r>
      <w:r w:rsidR="00D8087C" w:rsidRPr="00F646B2">
        <w:rPr>
          <w:rFonts w:asciiTheme="minorHAnsi" w:hAnsiTheme="minorHAnsi" w:cstheme="minorHAnsi"/>
          <w:sz w:val="22"/>
          <w:szCs w:val="22"/>
        </w:rPr>
        <w:t>à</w:t>
      </w:r>
      <w:r w:rsidRPr="00F646B2">
        <w:rPr>
          <w:rFonts w:asciiTheme="minorHAnsi" w:hAnsiTheme="minorHAnsi" w:cstheme="minorHAnsi"/>
          <w:sz w:val="22"/>
          <w:szCs w:val="22"/>
        </w:rPr>
        <w:t xml:space="preserve"> tăng</w:t>
      </w:r>
      <w:r w:rsidR="00D8087C" w:rsidRPr="00F646B2">
        <w:rPr>
          <w:rFonts w:asciiTheme="minorHAnsi" w:hAnsiTheme="minorHAnsi" w:cstheme="minorHAnsi"/>
          <w:sz w:val="22"/>
          <w:szCs w:val="22"/>
        </w:rPr>
        <w:t xml:space="preserve"> </w:t>
      </w:r>
      <w:r w:rsidRPr="00F646B2">
        <w:rPr>
          <w:rFonts w:asciiTheme="minorHAnsi" w:hAnsiTheme="minorHAnsi" w:cstheme="minorHAnsi"/>
          <w:sz w:val="22"/>
          <w:szCs w:val="22"/>
        </w:rPr>
        <w:t xml:space="preserve">lên một cách cơ bản vào bất kỳ lúc nào, hoặc c) nếu quyền lợi theo hợp đồng của Người được bảo hiểm được chuyển giao cho người khác trừ khi có sự đồng ý trước bằng văn bản của </w:t>
      </w:r>
      <w:r w:rsidR="0060019F" w:rsidRPr="00F646B2">
        <w:rPr>
          <w:rFonts w:asciiTheme="minorHAnsi" w:hAnsiTheme="minorHAnsi" w:cstheme="minorHAnsi"/>
          <w:sz w:val="22"/>
          <w:szCs w:val="22"/>
        </w:rPr>
        <w:t>Bảo Hiểm AAA</w:t>
      </w:r>
      <w:r w:rsidRPr="00F646B2">
        <w:rPr>
          <w:rFonts w:asciiTheme="minorHAnsi" w:hAnsiTheme="minorHAnsi" w:cstheme="minorHAnsi"/>
          <w:b/>
          <w:bCs/>
          <w:sz w:val="22"/>
          <w:szCs w:val="22"/>
        </w:rPr>
        <w:t xml:space="preserve">. </w:t>
      </w:r>
    </w:p>
    <w:p w:rsidR="00B729DC" w:rsidRPr="00F646B2" w:rsidRDefault="00B729DC"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Tất cả những số tiền bồi thường mà </w:t>
      </w:r>
      <w:r w:rsidR="0060019F"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đã trả mỗi lần trong suốt thời hạn bảo hiểm, được </w:t>
      </w:r>
      <w:r w:rsidRPr="00F646B2">
        <w:rPr>
          <w:rFonts w:asciiTheme="minorHAnsi" w:hAnsiTheme="minorHAnsi" w:cstheme="minorHAnsi"/>
          <w:sz w:val="22"/>
          <w:szCs w:val="22"/>
        </w:rPr>
        <w:lastRenderedPageBreak/>
        <w:t xml:space="preserve">khấu trừ vào số tiền bảo hiểm tương ứng sao cho tổng số tiền </w:t>
      </w:r>
      <w:r w:rsidR="0060019F"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bồi thường trong suốt thời hạn bảo hiểm không vượt quá số tiền bảo hiểm tương ứng của từng hạng mục tài sản hoặc tổng cộng lại, không vượt quá tổng số tiền bảo hiểm nói chung. </w:t>
      </w:r>
    </w:p>
    <w:p w:rsidR="00B729DC" w:rsidRPr="00F646B2" w:rsidRDefault="00B729DC"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Nếu vào thời điểm xảy ra tổn thất hay thiệt hại, tài sản đã được bảo hiểm bằng một hợp đồng khác thì trách nhiệm của </w:t>
      </w:r>
      <w:r w:rsidR="0060019F"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theo Quy tắc này chỉ giới hạn theo tỷ lệ trách nhiệm của </w:t>
      </w:r>
      <w:r w:rsidR="0060019F"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đối với tổn thất hay thiệt hại đó. </w:t>
      </w:r>
    </w:p>
    <w:p w:rsidR="00B729DC" w:rsidRPr="00F646B2" w:rsidRDefault="00B729DC" w:rsidP="004D46CC">
      <w:pPr>
        <w:pStyle w:val="CM5"/>
        <w:spacing w:before="80" w:line="240" w:lineRule="auto"/>
        <w:ind w:left="360"/>
        <w:jc w:val="both"/>
        <w:rPr>
          <w:rFonts w:asciiTheme="minorHAnsi" w:hAnsiTheme="minorHAnsi" w:cstheme="minorHAnsi"/>
          <w:sz w:val="22"/>
          <w:szCs w:val="22"/>
        </w:rPr>
      </w:pPr>
      <w:r w:rsidRPr="00F646B2">
        <w:rPr>
          <w:rFonts w:asciiTheme="minorHAnsi" w:hAnsiTheme="minorHAnsi" w:cstheme="minorHAnsi"/>
          <w:sz w:val="22"/>
          <w:szCs w:val="22"/>
        </w:rPr>
        <w:t xml:space="preserve">Nếu một hợp đồng bảo hiểm khác đó tuân theo bất kỳ điều khoản phân bổ tổn thất nào thì Quy tắc bảo hiểm này cũng sẽ áp dụng tương ứng như đã nêu trong mục hạn mức trách nhiệm. Nếu hợp đồng bảo hiểm khác đó được thực hiện với nội dung bảo hiểm bất kỳ tài sản nào đã được bảo hiểm theo Quy tắc bảo hiểm này nhưng lại có điều kiện là hợp đồng bảo hiểm đó được miễn toàn bộ hoặc một phần trách nhiệm đã được bảo hiểm trong Quy tắc bảo hiểm này, hoặc được miễn nghĩa vụ đóng góp theo tỷ lệ vào tổn thất đã xảy ra thì trách nhiệm của </w:t>
      </w:r>
      <w:r w:rsidR="0060019F"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 xml:space="preserve">theo Quy tắc này sẽ giới hạn ở phần tổn thất tương ứng với tỷ lệ của số tiền bảo hiểm theo hợp đồng này chia cho giá trị của tài sản. </w:t>
      </w:r>
    </w:p>
    <w:p w:rsidR="00B729DC" w:rsidRPr="00F646B2" w:rsidRDefault="0060019F"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00B729DC" w:rsidRPr="00F646B2">
        <w:rPr>
          <w:rFonts w:asciiTheme="minorHAnsi" w:hAnsiTheme="minorHAnsi" w:cstheme="minorHAnsi"/>
          <w:sz w:val="22"/>
          <w:szCs w:val="22"/>
        </w:rPr>
        <w:t>sẽ không chịu trách nhiệm bồi thường bất kỳ khiếu nại nào của Người được bảo hiểm hoặc của người thay mặt Người được bảo hiểm nếu khiếu nại đó tỏ ra thiếu căn cứ hoặc gian trá về bất kỳ phương diện nào hoặc được phóng đại với dụng ý xấu hoặc có những lời tuyên bố hoặc kê khai sai sự thật nhằm b</w:t>
      </w:r>
      <w:r w:rsidR="0038465F" w:rsidRPr="00F646B2">
        <w:rPr>
          <w:rFonts w:asciiTheme="minorHAnsi" w:hAnsiTheme="minorHAnsi" w:cstheme="minorHAnsi"/>
          <w:sz w:val="22"/>
          <w:szCs w:val="22"/>
        </w:rPr>
        <w:t>ệ</w:t>
      </w:r>
      <w:r w:rsidR="00B729DC" w:rsidRPr="00F646B2">
        <w:rPr>
          <w:rFonts w:asciiTheme="minorHAnsi" w:hAnsiTheme="minorHAnsi" w:cstheme="minorHAnsi"/>
          <w:sz w:val="22"/>
          <w:szCs w:val="22"/>
        </w:rPr>
        <w:t xml:space="preserve">nh vực cho khiếu nại đó. </w:t>
      </w:r>
    </w:p>
    <w:p w:rsidR="00B729DC" w:rsidRPr="00F646B2" w:rsidRDefault="0060019F"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00B729DC" w:rsidRPr="00F646B2">
        <w:rPr>
          <w:rFonts w:asciiTheme="minorHAnsi" w:hAnsiTheme="minorHAnsi" w:cstheme="minorHAnsi"/>
          <w:sz w:val="22"/>
          <w:szCs w:val="22"/>
        </w:rPr>
        <w:t xml:space="preserve">hoặc Người được bảo hiểm đều có thể hủy bỏ hợp đồng bảo hiểm bằng cách thông báo trước 07 ngày cho phía bên kia bằng thư bảo đảm theo địa chỉ mới nhất mà mình biết và trong trường hợp như vậy Người được bảo hiểm được hoàn trả một phần phí bảo hiểm tỷ lệ với thời gian còn lại của hợp đồng với điều kiện là trước đó chưa có khiếu nại nào được bồi thường hoặc sẽ được bồi thường theo hợp đồng. Trường </w:t>
      </w:r>
      <w:r w:rsidR="00D8087C" w:rsidRPr="00F646B2">
        <w:rPr>
          <w:rFonts w:asciiTheme="minorHAnsi" w:hAnsiTheme="minorHAnsi" w:cstheme="minorHAnsi"/>
          <w:sz w:val="22"/>
          <w:szCs w:val="22"/>
        </w:rPr>
        <w:t>hợp</w:t>
      </w:r>
      <w:r w:rsidR="00B729DC" w:rsidRPr="00F646B2">
        <w:rPr>
          <w:rFonts w:asciiTheme="minorHAnsi" w:hAnsiTheme="minorHAnsi" w:cstheme="minorHAnsi"/>
          <w:sz w:val="22"/>
          <w:szCs w:val="22"/>
        </w:rPr>
        <w:t xml:space="preserve"> Người được bảo hiểm chủ động yêu cầu hủy bỏ hợp đồng, </w:t>
      </w:r>
      <w:r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00B729DC" w:rsidRPr="00F646B2">
        <w:rPr>
          <w:rFonts w:asciiTheme="minorHAnsi" w:hAnsiTheme="minorHAnsi" w:cstheme="minorHAnsi"/>
          <w:sz w:val="22"/>
          <w:szCs w:val="22"/>
        </w:rPr>
        <w:t xml:space="preserve">chỉ hoàn lại cho Người được bảo hiểm 90% phần phí bảo hiểm tỷ lệ với thời gian còn lại của hợp đồng. </w:t>
      </w:r>
    </w:p>
    <w:p w:rsidR="00B729DC" w:rsidRPr="00F646B2" w:rsidRDefault="00B729DC"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Nếu có sự bất đồng về số tiền bồi thường theo Quy tắc bảo hiểm này thì hai bên sẽ chỉ định một trọng tài để giải quyết theo các điều luật hiện hành về vấn đề đó. Khi đã được đưa ra trọng tài theo điều kiện này thì phán quyết của trọng tài sẽ là điều kiện tiên quyết đ</w:t>
      </w:r>
      <w:r w:rsidR="0038465F" w:rsidRPr="00F646B2">
        <w:rPr>
          <w:rFonts w:asciiTheme="minorHAnsi" w:hAnsiTheme="minorHAnsi" w:cstheme="minorHAnsi"/>
          <w:sz w:val="22"/>
          <w:szCs w:val="22"/>
        </w:rPr>
        <w:t>ể</w:t>
      </w:r>
      <w:r w:rsidRPr="00F646B2">
        <w:rPr>
          <w:rFonts w:asciiTheme="minorHAnsi" w:hAnsiTheme="minorHAnsi" w:cstheme="minorHAnsi"/>
          <w:sz w:val="22"/>
          <w:szCs w:val="22"/>
        </w:rPr>
        <w:t xml:space="preserve"> dành quyền khiếu nại với </w:t>
      </w:r>
      <w:r w:rsidR="0060019F" w:rsidRPr="00F646B2">
        <w:rPr>
          <w:rFonts w:asciiTheme="minorHAnsi" w:hAnsiTheme="minorHAnsi" w:cstheme="minorHAnsi"/>
          <w:sz w:val="22"/>
          <w:szCs w:val="22"/>
        </w:rPr>
        <w:t>Bảo Hiểm AAA</w:t>
      </w:r>
      <w:r w:rsidRPr="00F646B2">
        <w:rPr>
          <w:rFonts w:asciiTheme="minorHAnsi" w:hAnsiTheme="minorHAnsi" w:cstheme="minorHAnsi"/>
          <w:sz w:val="22"/>
          <w:szCs w:val="22"/>
        </w:rPr>
        <w:t xml:space="preserve">, chi phí trọng tài do bên thua kiện chịu. </w:t>
      </w:r>
    </w:p>
    <w:p w:rsidR="004D46CC" w:rsidRPr="00F646B2" w:rsidRDefault="00B729DC" w:rsidP="004D46CC">
      <w:pPr>
        <w:pStyle w:val="CM5"/>
        <w:numPr>
          <w:ilvl w:val="0"/>
          <w:numId w:val="6"/>
        </w:numPr>
        <w:spacing w:before="80" w:line="240" w:lineRule="auto"/>
        <w:jc w:val="both"/>
        <w:rPr>
          <w:rFonts w:asciiTheme="minorHAnsi" w:hAnsiTheme="minorHAnsi" w:cstheme="minorHAnsi"/>
          <w:sz w:val="22"/>
          <w:szCs w:val="22"/>
        </w:rPr>
      </w:pPr>
      <w:r w:rsidRPr="00F646B2">
        <w:rPr>
          <w:rFonts w:asciiTheme="minorHAnsi" w:hAnsiTheme="minorHAnsi" w:cstheme="minorHAnsi"/>
          <w:sz w:val="22"/>
          <w:szCs w:val="22"/>
        </w:rPr>
        <w:t xml:space="preserve">Điều kiện tiên quyết để ràng buộc trách nhiệm bồi thường của </w:t>
      </w:r>
      <w:r w:rsidR="0060019F" w:rsidRPr="00F646B2">
        <w:rPr>
          <w:rFonts w:asciiTheme="minorHAnsi" w:hAnsiTheme="minorHAnsi" w:cstheme="minorHAnsi"/>
          <w:sz w:val="22"/>
          <w:szCs w:val="22"/>
        </w:rPr>
        <w:t>Bảo Hiểm AAA</w:t>
      </w:r>
      <w:r w:rsidR="00DF2FF7" w:rsidRPr="00F646B2">
        <w:rPr>
          <w:rFonts w:asciiTheme="minorHAnsi" w:hAnsiTheme="minorHAnsi" w:cstheme="minorHAnsi"/>
          <w:b/>
          <w:bCs/>
          <w:sz w:val="22"/>
          <w:szCs w:val="22"/>
        </w:rPr>
        <w:t xml:space="preserve"> </w:t>
      </w:r>
      <w:r w:rsidRPr="00F646B2">
        <w:rPr>
          <w:rFonts w:asciiTheme="minorHAnsi" w:hAnsiTheme="minorHAnsi" w:cstheme="minorHAnsi"/>
          <w:sz w:val="22"/>
          <w:szCs w:val="22"/>
        </w:rPr>
        <w:t>là Người được bảo hiểm phải tuân theo và thực hiện đúng các điều kiện, điều khoản và các sửa đổi bổ sung của Quy tắc bảo hiểm này và đảm bảo tính trung thực, chính xác của các kê khai và các câu hỏ</w:t>
      </w:r>
      <w:r w:rsidR="004D46CC" w:rsidRPr="00F646B2">
        <w:rPr>
          <w:rFonts w:asciiTheme="minorHAnsi" w:hAnsiTheme="minorHAnsi" w:cstheme="minorHAnsi"/>
          <w:sz w:val="22"/>
          <w:szCs w:val="22"/>
        </w:rPr>
        <w:t>i trong Giấy yêu cầu bảo hiểm.</w:t>
      </w:r>
    </w:p>
    <w:p w:rsidR="00B729DC" w:rsidRPr="00F646B2" w:rsidRDefault="00B729DC" w:rsidP="00B729DC">
      <w:pPr>
        <w:pStyle w:val="Default"/>
        <w:spacing w:before="80"/>
        <w:rPr>
          <w:rFonts w:asciiTheme="minorHAnsi" w:hAnsiTheme="minorHAnsi" w:cstheme="minorHAnsi"/>
          <w:color w:val="auto"/>
          <w:sz w:val="22"/>
          <w:szCs w:val="22"/>
        </w:rPr>
      </w:pPr>
    </w:p>
    <w:bookmarkEnd w:id="0"/>
    <w:p w:rsidR="00B729DC" w:rsidRPr="00F646B2" w:rsidRDefault="00B729DC">
      <w:pPr>
        <w:pStyle w:val="Default"/>
        <w:rPr>
          <w:rFonts w:asciiTheme="minorHAnsi" w:hAnsiTheme="minorHAnsi" w:cstheme="minorHAnsi"/>
          <w:color w:val="auto"/>
          <w:sz w:val="22"/>
          <w:szCs w:val="22"/>
        </w:rPr>
      </w:pPr>
    </w:p>
    <w:sectPr w:rsidR="00B729DC" w:rsidRPr="00F646B2" w:rsidSect="004A50F2">
      <w:footerReference w:type="default" r:id="rId7"/>
      <w:pgSz w:w="11909" w:h="16834"/>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B5" w:rsidRDefault="00A54DB5">
      <w:r>
        <w:separator/>
      </w:r>
    </w:p>
  </w:endnote>
  <w:endnote w:type="continuationSeparator" w:id="0">
    <w:p w:rsidR="00A54DB5" w:rsidRDefault="00A5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0F2" w:rsidRDefault="004A50F2">
    <w:pPr>
      <w:pStyle w:val="Footer"/>
    </w:pPr>
  </w:p>
  <w:p w:rsidR="004A50F2" w:rsidRPr="000800B9" w:rsidRDefault="004A50F2" w:rsidP="000800B9">
    <w:pPr>
      <w:pStyle w:val="Footer"/>
      <w:tabs>
        <w:tab w:val="clear" w:pos="8640"/>
        <w:tab w:val="right" w:pos="9600"/>
      </w:tabs>
      <w:rPr>
        <w:rFonts w:ascii="Tahoma" w:hAnsi="Tahoma" w:cs="Tahoma"/>
        <w:i/>
        <w:iCs/>
        <w:sz w:val="20"/>
        <w:szCs w:val="20"/>
      </w:rPr>
    </w:pPr>
    <w:r w:rsidRPr="000800B9">
      <w:rPr>
        <w:rFonts w:ascii="Tahoma" w:hAnsi="Tahoma" w:cs="Tahoma"/>
        <w:i/>
        <w:iCs/>
        <w:sz w:val="20"/>
        <w:szCs w:val="20"/>
      </w:rPr>
      <w:t>Quy tắc bảo hiểm trộm cướp</w:t>
    </w:r>
    <w:r w:rsidRPr="000800B9">
      <w:rPr>
        <w:rFonts w:ascii="Tahoma" w:hAnsi="Tahoma" w:cs="Tahoma"/>
        <w:i/>
        <w:iCs/>
        <w:sz w:val="20"/>
        <w:szCs w:val="20"/>
      </w:rPr>
      <w:tab/>
    </w:r>
    <w:r w:rsidRPr="000800B9">
      <w:rPr>
        <w:rFonts w:ascii="Tahoma" w:hAnsi="Tahoma" w:cs="Tahoma"/>
        <w:i/>
        <w:iCs/>
        <w:sz w:val="20"/>
        <w:szCs w:val="20"/>
      </w:rPr>
      <w:tab/>
    </w:r>
    <w:r w:rsidRPr="000800B9">
      <w:rPr>
        <w:rStyle w:val="PageNumber"/>
        <w:rFonts w:ascii="Tahoma" w:hAnsi="Tahoma" w:cs="Tahoma"/>
        <w:i/>
        <w:iCs/>
        <w:sz w:val="20"/>
        <w:szCs w:val="20"/>
      </w:rPr>
      <w:fldChar w:fldCharType="begin"/>
    </w:r>
    <w:r w:rsidRPr="000800B9">
      <w:rPr>
        <w:rStyle w:val="PageNumber"/>
        <w:rFonts w:ascii="Tahoma" w:hAnsi="Tahoma" w:cs="Tahoma"/>
        <w:i/>
        <w:iCs/>
        <w:sz w:val="20"/>
        <w:szCs w:val="20"/>
      </w:rPr>
      <w:instrText xml:space="preserve"> PAGE </w:instrText>
    </w:r>
    <w:r w:rsidRPr="000800B9">
      <w:rPr>
        <w:rStyle w:val="PageNumber"/>
        <w:rFonts w:ascii="Tahoma" w:hAnsi="Tahoma" w:cs="Tahoma"/>
        <w:i/>
        <w:iCs/>
        <w:sz w:val="20"/>
        <w:szCs w:val="20"/>
      </w:rPr>
      <w:fldChar w:fldCharType="separate"/>
    </w:r>
    <w:r w:rsidR="00F646B2">
      <w:rPr>
        <w:rStyle w:val="PageNumber"/>
        <w:rFonts w:ascii="Tahoma" w:hAnsi="Tahoma" w:cs="Tahoma"/>
        <w:i/>
        <w:iCs/>
        <w:noProof/>
        <w:sz w:val="20"/>
        <w:szCs w:val="20"/>
      </w:rPr>
      <w:t>1</w:t>
    </w:r>
    <w:r w:rsidRPr="000800B9">
      <w:rPr>
        <w:rStyle w:val="PageNumber"/>
        <w:rFonts w:ascii="Tahoma" w:hAnsi="Tahoma" w:cs="Tahoma"/>
        <w:i/>
        <w:iCs/>
        <w:sz w:val="20"/>
        <w:szCs w:val="20"/>
      </w:rPr>
      <w:fldChar w:fldCharType="end"/>
    </w:r>
    <w:r w:rsidRPr="000800B9">
      <w:rPr>
        <w:rStyle w:val="PageNumber"/>
        <w:rFonts w:ascii="Tahoma" w:hAnsi="Tahoma" w:cs="Tahoma"/>
        <w:i/>
        <w:iCs/>
        <w:sz w:val="20"/>
        <w:szCs w:val="20"/>
      </w:rPr>
      <w:t>/</w:t>
    </w:r>
    <w:r w:rsidRPr="000800B9">
      <w:rPr>
        <w:rStyle w:val="PageNumber"/>
        <w:rFonts w:ascii="Tahoma" w:hAnsi="Tahoma" w:cs="Tahoma"/>
        <w:i/>
        <w:iCs/>
        <w:sz w:val="20"/>
        <w:szCs w:val="20"/>
      </w:rPr>
      <w:fldChar w:fldCharType="begin"/>
    </w:r>
    <w:r w:rsidRPr="000800B9">
      <w:rPr>
        <w:rStyle w:val="PageNumber"/>
        <w:rFonts w:ascii="Tahoma" w:hAnsi="Tahoma" w:cs="Tahoma"/>
        <w:i/>
        <w:iCs/>
        <w:sz w:val="20"/>
        <w:szCs w:val="20"/>
      </w:rPr>
      <w:instrText xml:space="preserve"> NUMPAGES </w:instrText>
    </w:r>
    <w:r w:rsidRPr="000800B9">
      <w:rPr>
        <w:rStyle w:val="PageNumber"/>
        <w:rFonts w:ascii="Tahoma" w:hAnsi="Tahoma" w:cs="Tahoma"/>
        <w:i/>
        <w:iCs/>
        <w:sz w:val="20"/>
        <w:szCs w:val="20"/>
      </w:rPr>
      <w:fldChar w:fldCharType="separate"/>
    </w:r>
    <w:r w:rsidR="00F646B2">
      <w:rPr>
        <w:rStyle w:val="PageNumber"/>
        <w:rFonts w:ascii="Tahoma" w:hAnsi="Tahoma" w:cs="Tahoma"/>
        <w:i/>
        <w:iCs/>
        <w:noProof/>
        <w:sz w:val="20"/>
        <w:szCs w:val="20"/>
      </w:rPr>
      <w:t>3</w:t>
    </w:r>
    <w:r w:rsidRPr="000800B9">
      <w:rPr>
        <w:rStyle w:val="PageNumber"/>
        <w:rFonts w:ascii="Tahoma" w:hAnsi="Tahoma"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B5" w:rsidRDefault="00A54DB5">
      <w:r>
        <w:separator/>
      </w:r>
    </w:p>
  </w:footnote>
  <w:footnote w:type="continuationSeparator" w:id="0">
    <w:p w:rsidR="00A54DB5" w:rsidRDefault="00A5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83C"/>
    <w:multiLevelType w:val="hybridMultilevel"/>
    <w:tmpl w:val="DD86F252"/>
    <w:lvl w:ilvl="0" w:tplc="4C3893AA">
      <w:start w:val="1"/>
      <w:numFmt w:val="decimal"/>
      <w:lvlText w:val="%1)"/>
      <w:lvlJc w:val="left"/>
      <w:pPr>
        <w:tabs>
          <w:tab w:val="num" w:pos="721"/>
        </w:tabs>
        <w:ind w:left="721" w:hanging="360"/>
      </w:pPr>
      <w:rPr>
        <w:rFonts w:hint="default"/>
      </w:rPr>
    </w:lvl>
    <w:lvl w:ilvl="1" w:tplc="04090019">
      <w:start w:val="1"/>
      <w:numFmt w:val="lowerLetter"/>
      <w:lvlText w:val="%2."/>
      <w:lvlJc w:val="left"/>
      <w:pPr>
        <w:tabs>
          <w:tab w:val="num" w:pos="1441"/>
        </w:tabs>
        <w:ind w:left="1441" w:hanging="360"/>
      </w:pPr>
    </w:lvl>
    <w:lvl w:ilvl="2" w:tplc="0409001B">
      <w:start w:val="1"/>
      <w:numFmt w:val="lowerRoman"/>
      <w:lvlText w:val="%3."/>
      <w:lvlJc w:val="right"/>
      <w:pPr>
        <w:tabs>
          <w:tab w:val="num" w:pos="2161"/>
        </w:tabs>
        <w:ind w:left="2161" w:hanging="180"/>
      </w:pPr>
    </w:lvl>
    <w:lvl w:ilvl="3" w:tplc="0409000F">
      <w:start w:val="1"/>
      <w:numFmt w:val="decimal"/>
      <w:lvlText w:val="%4."/>
      <w:lvlJc w:val="left"/>
      <w:pPr>
        <w:tabs>
          <w:tab w:val="num" w:pos="2881"/>
        </w:tabs>
        <w:ind w:left="2881" w:hanging="360"/>
      </w:pPr>
    </w:lvl>
    <w:lvl w:ilvl="4" w:tplc="04090019">
      <w:start w:val="1"/>
      <w:numFmt w:val="lowerLetter"/>
      <w:lvlText w:val="%5."/>
      <w:lvlJc w:val="left"/>
      <w:pPr>
        <w:tabs>
          <w:tab w:val="num" w:pos="3601"/>
        </w:tabs>
        <w:ind w:left="3601" w:hanging="360"/>
      </w:pPr>
    </w:lvl>
    <w:lvl w:ilvl="5" w:tplc="0409001B">
      <w:start w:val="1"/>
      <w:numFmt w:val="lowerRoman"/>
      <w:lvlText w:val="%6."/>
      <w:lvlJc w:val="right"/>
      <w:pPr>
        <w:tabs>
          <w:tab w:val="num" w:pos="4321"/>
        </w:tabs>
        <w:ind w:left="4321" w:hanging="180"/>
      </w:pPr>
    </w:lvl>
    <w:lvl w:ilvl="6" w:tplc="0409000F">
      <w:start w:val="1"/>
      <w:numFmt w:val="decimal"/>
      <w:lvlText w:val="%7."/>
      <w:lvlJc w:val="left"/>
      <w:pPr>
        <w:tabs>
          <w:tab w:val="num" w:pos="5041"/>
        </w:tabs>
        <w:ind w:left="5041" w:hanging="360"/>
      </w:pPr>
    </w:lvl>
    <w:lvl w:ilvl="7" w:tplc="04090019">
      <w:start w:val="1"/>
      <w:numFmt w:val="lowerLetter"/>
      <w:lvlText w:val="%8."/>
      <w:lvlJc w:val="left"/>
      <w:pPr>
        <w:tabs>
          <w:tab w:val="num" w:pos="5761"/>
        </w:tabs>
        <w:ind w:left="5761" w:hanging="360"/>
      </w:pPr>
    </w:lvl>
    <w:lvl w:ilvl="8" w:tplc="0409001B">
      <w:start w:val="1"/>
      <w:numFmt w:val="lowerRoman"/>
      <w:lvlText w:val="%9."/>
      <w:lvlJc w:val="right"/>
      <w:pPr>
        <w:tabs>
          <w:tab w:val="num" w:pos="6481"/>
        </w:tabs>
        <w:ind w:left="6481" w:hanging="180"/>
      </w:pPr>
    </w:lvl>
  </w:abstractNum>
  <w:abstractNum w:abstractNumId="1">
    <w:nsid w:val="0E6432D6"/>
    <w:multiLevelType w:val="hybridMultilevel"/>
    <w:tmpl w:val="68BA35FA"/>
    <w:lvl w:ilvl="0" w:tplc="4C3893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74A73AA"/>
    <w:multiLevelType w:val="hybridMultilevel"/>
    <w:tmpl w:val="B3567502"/>
    <w:lvl w:ilvl="0" w:tplc="A782C01E">
      <w:numFmt w:val="bullet"/>
      <w:lvlText w:val="-"/>
      <w:lvlJc w:val="left"/>
      <w:pPr>
        <w:tabs>
          <w:tab w:val="num" w:pos="3960"/>
        </w:tabs>
        <w:ind w:left="3960" w:hanging="360"/>
      </w:pPr>
      <w:rPr>
        <w:rFonts w:ascii="Tahoma" w:eastAsia="Times New Roman" w:hAnsi="Tahoma"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3">
    <w:nsid w:val="619A0CC4"/>
    <w:multiLevelType w:val="hybridMultilevel"/>
    <w:tmpl w:val="F8C4354A"/>
    <w:lvl w:ilvl="0" w:tplc="76F28B28">
      <w:start w:val="1"/>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2481E0D"/>
    <w:multiLevelType w:val="hybridMultilevel"/>
    <w:tmpl w:val="639CBFD4"/>
    <w:lvl w:ilvl="0" w:tplc="76F28B28">
      <w:start w:val="1"/>
      <w:numFmt w:val="decimal"/>
      <w:lvlText w:val="%1)"/>
      <w:lvlJc w:val="left"/>
      <w:pPr>
        <w:tabs>
          <w:tab w:val="num" w:pos="361"/>
        </w:tabs>
        <w:ind w:left="361" w:hanging="360"/>
      </w:pPr>
      <w:rPr>
        <w:rFonts w:hint="default"/>
      </w:rPr>
    </w:lvl>
    <w:lvl w:ilvl="1" w:tplc="9BC4303C">
      <w:start w:val="1"/>
      <w:numFmt w:val="lowerLetter"/>
      <w:lvlText w:val="%2)"/>
      <w:lvlJc w:val="left"/>
      <w:pPr>
        <w:tabs>
          <w:tab w:val="num" w:pos="1081"/>
        </w:tabs>
        <w:ind w:left="1081" w:hanging="360"/>
      </w:pPr>
      <w:rPr>
        <w:rFonts w:hint="default"/>
      </w:r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5">
    <w:nsid w:val="6C3D33E3"/>
    <w:multiLevelType w:val="hybridMultilevel"/>
    <w:tmpl w:val="78EEDB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CE84A9E"/>
    <w:multiLevelType w:val="hybridMultilevel"/>
    <w:tmpl w:val="3692CF0A"/>
    <w:lvl w:ilvl="0" w:tplc="85C2CE6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FCA6591"/>
    <w:multiLevelType w:val="hybridMultilevel"/>
    <w:tmpl w:val="671E8328"/>
    <w:lvl w:ilvl="0" w:tplc="E474ECE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00"/>
    <w:rsid w:val="000800B9"/>
    <w:rsid w:val="00257E3C"/>
    <w:rsid w:val="0038465F"/>
    <w:rsid w:val="00402EC7"/>
    <w:rsid w:val="004A50F2"/>
    <w:rsid w:val="004D46CC"/>
    <w:rsid w:val="00503D39"/>
    <w:rsid w:val="00544F2B"/>
    <w:rsid w:val="00594F81"/>
    <w:rsid w:val="0060019F"/>
    <w:rsid w:val="00613F00"/>
    <w:rsid w:val="00A54DB5"/>
    <w:rsid w:val="00AD5698"/>
    <w:rsid w:val="00B729DC"/>
    <w:rsid w:val="00BA27D4"/>
    <w:rsid w:val="00C018D3"/>
    <w:rsid w:val="00C2682F"/>
    <w:rsid w:val="00D8087C"/>
    <w:rsid w:val="00DF2FF7"/>
    <w:rsid w:val="00E82D94"/>
    <w:rsid w:val="00F6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36FBF5-B4ED-4811-9AEE-8512873B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00"/>
    <w:pPr>
      <w:spacing w:after="0" w:line="240" w:lineRule="auto"/>
    </w:pPr>
    <w:rPr>
      <w:rFonts w:ascii="VNI-Aptima" w:hAnsi="VNI-Aptima" w:cs="VNI-Aptim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9">
    <w:name w:val="CM9"/>
    <w:basedOn w:val="Default"/>
    <w:next w:val="Default"/>
    <w:uiPriority w:val="99"/>
    <w:pPr>
      <w:spacing w:after="355"/>
    </w:pPr>
    <w:rPr>
      <w:color w:val="auto"/>
    </w:rPr>
  </w:style>
  <w:style w:type="paragraph" w:customStyle="1" w:styleId="CM1">
    <w:name w:val="CM1"/>
    <w:basedOn w:val="Default"/>
    <w:next w:val="Default"/>
    <w:uiPriority w:val="99"/>
    <w:pPr>
      <w:spacing w:line="320" w:lineRule="atLeast"/>
    </w:pPr>
    <w:rPr>
      <w:color w:val="auto"/>
    </w:rPr>
  </w:style>
  <w:style w:type="paragraph" w:customStyle="1" w:styleId="CM2">
    <w:name w:val="CM2"/>
    <w:basedOn w:val="Default"/>
    <w:next w:val="Default"/>
    <w:uiPriority w:val="99"/>
    <w:pPr>
      <w:spacing w:line="326" w:lineRule="atLeast"/>
    </w:pPr>
    <w:rPr>
      <w:color w:val="auto"/>
    </w:rPr>
  </w:style>
  <w:style w:type="paragraph" w:customStyle="1" w:styleId="CM3">
    <w:name w:val="CM3"/>
    <w:basedOn w:val="Default"/>
    <w:next w:val="Default"/>
    <w:uiPriority w:val="99"/>
    <w:pPr>
      <w:spacing w:line="678" w:lineRule="atLeast"/>
    </w:pPr>
    <w:rPr>
      <w:color w:val="auto"/>
    </w:rPr>
  </w:style>
  <w:style w:type="paragraph" w:customStyle="1" w:styleId="CM4">
    <w:name w:val="CM4"/>
    <w:basedOn w:val="Default"/>
    <w:next w:val="Default"/>
    <w:uiPriority w:val="99"/>
    <w:pPr>
      <w:spacing w:line="318" w:lineRule="atLeast"/>
    </w:pPr>
    <w:rPr>
      <w:color w:val="auto"/>
    </w:rPr>
  </w:style>
  <w:style w:type="paragraph" w:customStyle="1" w:styleId="CM5">
    <w:name w:val="CM5"/>
    <w:basedOn w:val="Default"/>
    <w:next w:val="Default"/>
    <w:uiPriority w:val="99"/>
    <w:pPr>
      <w:spacing w:line="318" w:lineRule="atLeast"/>
    </w:pPr>
    <w:rPr>
      <w:color w:val="auto"/>
    </w:rPr>
  </w:style>
  <w:style w:type="paragraph" w:customStyle="1" w:styleId="CM6">
    <w:name w:val="CM6"/>
    <w:basedOn w:val="Default"/>
    <w:next w:val="Default"/>
    <w:uiPriority w:val="99"/>
    <w:pPr>
      <w:spacing w:line="320" w:lineRule="atLeast"/>
    </w:pPr>
    <w:rPr>
      <w:color w:val="auto"/>
    </w:rPr>
  </w:style>
  <w:style w:type="paragraph" w:customStyle="1" w:styleId="CM7">
    <w:name w:val="CM7"/>
    <w:basedOn w:val="Default"/>
    <w:next w:val="Default"/>
    <w:uiPriority w:val="99"/>
    <w:pPr>
      <w:spacing w:line="320" w:lineRule="atLeast"/>
    </w:pPr>
    <w:rPr>
      <w:color w:val="auto"/>
    </w:rPr>
  </w:style>
  <w:style w:type="paragraph" w:customStyle="1" w:styleId="CM8">
    <w:name w:val="CM8"/>
    <w:basedOn w:val="Default"/>
    <w:next w:val="Default"/>
    <w:uiPriority w:val="99"/>
    <w:pPr>
      <w:spacing w:line="320" w:lineRule="atLeast"/>
    </w:pPr>
    <w:rPr>
      <w:color w:val="auto"/>
    </w:rPr>
  </w:style>
  <w:style w:type="paragraph" w:styleId="Header">
    <w:name w:val="header"/>
    <w:basedOn w:val="Normal"/>
    <w:link w:val="HeaderChar"/>
    <w:uiPriority w:val="99"/>
    <w:rsid w:val="000800B9"/>
    <w:pPr>
      <w:tabs>
        <w:tab w:val="center" w:pos="4320"/>
        <w:tab w:val="right" w:pos="8640"/>
      </w:tabs>
    </w:pPr>
  </w:style>
  <w:style w:type="character" w:customStyle="1" w:styleId="HeaderChar">
    <w:name w:val="Header Char"/>
    <w:basedOn w:val="DefaultParagraphFont"/>
    <w:link w:val="Header"/>
    <w:uiPriority w:val="99"/>
    <w:semiHidden/>
    <w:rPr>
      <w:rFonts w:ascii="VNI-Aptima" w:hAnsi="VNI-Aptima" w:cs="VNI-Aptima"/>
      <w:sz w:val="24"/>
      <w:szCs w:val="24"/>
    </w:rPr>
  </w:style>
  <w:style w:type="paragraph" w:styleId="Footer">
    <w:name w:val="footer"/>
    <w:basedOn w:val="Normal"/>
    <w:link w:val="FooterChar"/>
    <w:uiPriority w:val="99"/>
    <w:rsid w:val="000800B9"/>
    <w:pPr>
      <w:tabs>
        <w:tab w:val="center" w:pos="4320"/>
        <w:tab w:val="right" w:pos="8640"/>
      </w:tabs>
    </w:pPr>
  </w:style>
  <w:style w:type="character" w:customStyle="1" w:styleId="FooterChar">
    <w:name w:val="Footer Char"/>
    <w:basedOn w:val="DefaultParagraphFont"/>
    <w:link w:val="Footer"/>
    <w:uiPriority w:val="99"/>
    <w:semiHidden/>
    <w:rPr>
      <w:rFonts w:ascii="VNI-Aptima" w:hAnsi="VNI-Aptima" w:cs="VNI-Aptima"/>
      <w:sz w:val="24"/>
      <w:szCs w:val="24"/>
    </w:rPr>
  </w:style>
  <w:style w:type="character" w:styleId="PageNumber">
    <w:name w:val="page number"/>
    <w:basedOn w:val="DefaultParagraphFont"/>
    <w:uiPriority w:val="99"/>
    <w:rsid w:val="0008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nguyenhuong</dc:creator>
  <cp:keywords/>
  <dc:description/>
  <cp:lastModifiedBy>Tri, Chau Vo Trong - GD Phong TSKT</cp:lastModifiedBy>
  <cp:revision>2</cp:revision>
  <dcterms:created xsi:type="dcterms:W3CDTF">2018-05-29T02:02:00Z</dcterms:created>
  <dcterms:modified xsi:type="dcterms:W3CDTF">2018-05-29T02:02:00Z</dcterms:modified>
</cp:coreProperties>
</file>