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03" w:rsidRPr="008F62D5" w:rsidRDefault="004D2003">
      <w:pPr>
        <w:jc w:val="center"/>
        <w:rPr>
          <w:rFonts w:asciiTheme="minorHAnsi" w:hAnsiTheme="minorHAnsi" w:cstheme="minorHAnsi"/>
          <w:color w:val="000000"/>
          <w:sz w:val="20"/>
          <w:szCs w:val="20"/>
        </w:rPr>
      </w:pPr>
    </w:p>
    <w:p w:rsidR="004D2003" w:rsidRPr="008F62D5" w:rsidRDefault="004D2003">
      <w:pPr>
        <w:jc w:val="center"/>
        <w:rPr>
          <w:rFonts w:asciiTheme="minorHAnsi" w:hAnsiTheme="minorHAnsi" w:cstheme="minorHAnsi"/>
          <w:color w:val="000000"/>
          <w:sz w:val="32"/>
          <w:szCs w:val="32"/>
        </w:rPr>
      </w:pPr>
      <w:r w:rsidRPr="008F62D5">
        <w:rPr>
          <w:rFonts w:asciiTheme="minorHAnsi" w:hAnsiTheme="minorHAnsi" w:cstheme="minorHAnsi"/>
          <w:b/>
          <w:bCs/>
          <w:color w:val="000000"/>
          <w:sz w:val="32"/>
          <w:szCs w:val="32"/>
        </w:rPr>
        <w:t xml:space="preserve">QUY TẮC </w:t>
      </w:r>
    </w:p>
    <w:p w:rsidR="004D2003" w:rsidRPr="008F62D5" w:rsidRDefault="004D2003" w:rsidP="00334F1F">
      <w:pPr>
        <w:spacing w:before="80"/>
        <w:jc w:val="center"/>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BẢO HIỂM TIỀN </w:t>
      </w:r>
    </w:p>
    <w:p w:rsidR="004D2003" w:rsidRPr="008F62D5" w:rsidRDefault="004D2003" w:rsidP="00334F1F">
      <w:pPr>
        <w:spacing w:before="80"/>
        <w:jc w:val="center"/>
        <w:rPr>
          <w:rFonts w:asciiTheme="minorHAnsi" w:hAnsiTheme="minorHAnsi" w:cstheme="minorHAnsi"/>
          <w:i/>
          <w:iCs/>
          <w:color w:val="000000"/>
          <w:sz w:val="20"/>
          <w:szCs w:val="20"/>
        </w:rPr>
      </w:pPr>
      <w:r w:rsidRPr="008F62D5">
        <w:rPr>
          <w:rFonts w:asciiTheme="minorHAnsi" w:hAnsiTheme="minorHAnsi" w:cstheme="minorHAnsi"/>
          <w:i/>
          <w:iCs/>
          <w:color w:val="000000"/>
          <w:sz w:val="20"/>
          <w:szCs w:val="20"/>
        </w:rPr>
        <w:t xml:space="preserve">(Ban hành theo </w:t>
      </w:r>
      <w:r w:rsidR="00170548" w:rsidRPr="008F62D5">
        <w:rPr>
          <w:rFonts w:asciiTheme="minorHAnsi" w:hAnsiTheme="minorHAnsi" w:cstheme="minorHAnsi"/>
          <w:i/>
          <w:iCs/>
          <w:color w:val="000000"/>
          <w:sz w:val="20"/>
          <w:szCs w:val="20"/>
        </w:rPr>
        <w:t>Q</w:t>
      </w:r>
      <w:r w:rsidRPr="008F62D5">
        <w:rPr>
          <w:rFonts w:asciiTheme="minorHAnsi" w:hAnsiTheme="minorHAnsi" w:cstheme="minorHAnsi"/>
          <w:i/>
          <w:iCs/>
          <w:color w:val="000000"/>
          <w:sz w:val="20"/>
          <w:szCs w:val="20"/>
        </w:rPr>
        <w:t>uyết định số: 64/05/QĐ-TGĐ ngày 21/06/2005</w:t>
      </w:r>
      <w:r w:rsidR="00170548" w:rsidRPr="008F62D5">
        <w:rPr>
          <w:rFonts w:asciiTheme="minorHAnsi" w:hAnsiTheme="minorHAnsi" w:cstheme="minorHAnsi"/>
          <w:i/>
          <w:iCs/>
          <w:color w:val="000000"/>
          <w:sz w:val="20"/>
          <w:szCs w:val="20"/>
        </w:rPr>
        <w:t xml:space="preserve"> của </w:t>
      </w:r>
      <w:r w:rsidR="00457801" w:rsidRPr="008F62D5">
        <w:rPr>
          <w:rFonts w:asciiTheme="minorHAnsi" w:hAnsiTheme="minorHAnsi" w:cstheme="minorHAnsi"/>
          <w:i/>
          <w:iCs/>
          <w:color w:val="000000"/>
          <w:sz w:val="20"/>
          <w:szCs w:val="20"/>
        </w:rPr>
        <w:t>Bảo Hiểm AAA</w:t>
      </w:r>
      <w:r w:rsidRPr="008F62D5">
        <w:rPr>
          <w:rFonts w:asciiTheme="minorHAnsi" w:hAnsiTheme="minorHAnsi" w:cstheme="minorHAnsi"/>
          <w:i/>
          <w:iCs/>
          <w:color w:val="000000"/>
          <w:sz w:val="20"/>
          <w:szCs w:val="20"/>
        </w:rPr>
        <w:t xml:space="preserve">) </w:t>
      </w:r>
    </w:p>
    <w:p w:rsidR="004D2003" w:rsidRPr="008F62D5" w:rsidRDefault="004D2003">
      <w:pPr>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 </w:t>
      </w:r>
    </w:p>
    <w:p w:rsidR="004D2003" w:rsidRPr="008F62D5" w:rsidRDefault="004D2003" w:rsidP="004533F2">
      <w:pPr>
        <w:spacing w:before="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Trên cơ sở Người được bảo hiểm gửi giấy yêu cầu cho cho </w:t>
      </w:r>
      <w:r w:rsidRPr="008F62D5">
        <w:rPr>
          <w:rFonts w:asciiTheme="minorHAnsi" w:hAnsiTheme="minorHAnsi" w:cstheme="minorHAnsi"/>
          <w:b/>
          <w:bCs/>
          <w:color w:val="000000"/>
          <w:sz w:val="22"/>
          <w:szCs w:val="22"/>
        </w:rPr>
        <w:t xml:space="preserve">Công ty Cổ phần </w:t>
      </w:r>
      <w:r w:rsidR="00457801" w:rsidRPr="008F62D5">
        <w:rPr>
          <w:rFonts w:asciiTheme="minorHAnsi" w:hAnsiTheme="minorHAnsi" w:cstheme="minorHAnsi"/>
          <w:b/>
          <w:bCs/>
          <w:color w:val="000000"/>
          <w:sz w:val="22"/>
          <w:szCs w:val="22"/>
        </w:rPr>
        <w:t>Bảo Hiểm AAA</w:t>
      </w:r>
      <w:r w:rsidRPr="008F62D5">
        <w:rPr>
          <w:rFonts w:asciiTheme="minorHAnsi" w:hAnsiTheme="minorHAnsi" w:cstheme="minorHAnsi"/>
          <w:color w:val="000000"/>
          <w:sz w:val="22"/>
          <w:szCs w:val="22"/>
        </w:rPr>
        <w:t xml:space="preserve"> (sau đây sẽ gọi là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về việc bảo hiểm như quy định dưới đây và đã thanh toán hoặc đồng ý thanh toán số phí bảo hiểm theo thoả thuận,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đồng ý cung cấp bảo hiểm như sau : </w:t>
      </w:r>
    </w:p>
    <w:p w:rsidR="004D2003" w:rsidRPr="008F62D5" w:rsidRDefault="004D2003" w:rsidP="004533F2">
      <w:pPr>
        <w:spacing w:before="8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I/ Tiền đang vận chuyển. </w:t>
      </w:r>
    </w:p>
    <w:p w:rsidR="004D2003" w:rsidRPr="008F62D5" w:rsidRDefault="004D2003" w:rsidP="004533F2">
      <w:pPr>
        <w:numPr>
          <w:ilvl w:val="0"/>
          <w:numId w:val="4"/>
        </w:numPr>
        <w:spacing w:before="8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Phạm vi bảo hiểm: </w:t>
      </w:r>
    </w:p>
    <w:p w:rsidR="004D2003" w:rsidRPr="008F62D5" w:rsidRDefault="004D2003" w:rsidP="004533F2">
      <w:pPr>
        <w:numPr>
          <w:ilvl w:val="1"/>
          <w:numId w:val="4"/>
        </w:numPr>
        <w:tabs>
          <w:tab w:val="clear" w:pos="1080"/>
        </w:tabs>
        <w:spacing w:before="80"/>
        <w:ind w:left="96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Phụ thuộc vào nội dung và điều kiện quy định trong Quy tắc bảo hiểm,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sẽ bồi thường cho Người được bảo hiểm đối với những mất mát, thiệt hại về tiền, bao gồm tiền mặt, séc lữ hành, thẻ tín dụng, biên lai thuộc sự trông nom của Người được bảo hiểm hay người đại diện của Người được bảo hiểm do bị ăn cướp trong quá trình vận chuyển bằng xe ô tô trong phạm vi lãnh thổ Việt Nam và được quy định theo các tuyến đường ghi rõ trong Giấy chứng nhận bảo hiểm. </w:t>
      </w:r>
    </w:p>
    <w:p w:rsidR="004D2003" w:rsidRPr="008F62D5" w:rsidRDefault="004D2003" w:rsidP="004533F2">
      <w:pPr>
        <w:spacing w:before="80"/>
        <w:ind w:left="600" w:firstLine="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Thuật ngữ “mất cắp” ở đây được áp dụng trong trường hợp nếu: </w:t>
      </w:r>
    </w:p>
    <w:p w:rsidR="004D2003" w:rsidRPr="008F62D5" w:rsidRDefault="004D2003" w:rsidP="004533F2">
      <w:pPr>
        <w:numPr>
          <w:ilvl w:val="2"/>
          <w:numId w:val="4"/>
        </w:numPr>
        <w:spacing w:before="80"/>
        <w:ind w:hanging="4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có hành động bạo lực hoặc sử dụng các phương tiện khác để uy hiếp hòng loại trừ mọi kháng cự lại việc ăn cướp và trộm cắp tài sản bảo hiểm đó; </w:t>
      </w:r>
    </w:p>
    <w:p w:rsidR="004D2003" w:rsidRPr="008F62D5" w:rsidRDefault="004D2003" w:rsidP="004533F2">
      <w:pPr>
        <w:numPr>
          <w:ilvl w:val="2"/>
          <w:numId w:val="4"/>
        </w:numPr>
        <w:tabs>
          <w:tab w:val="clear" w:pos="1440"/>
        </w:tabs>
        <w:spacing w:before="80"/>
        <w:ind w:hanging="4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do có sự đe dọa bị chết hoặc bị thương tật, người trông nom tài sản buộc phải giao nộp hay từ bỏ tài sản được bảo hiểm; </w:t>
      </w:r>
    </w:p>
    <w:p w:rsidR="004D2003" w:rsidRPr="008F62D5" w:rsidRDefault="004D2003" w:rsidP="004533F2">
      <w:pPr>
        <w:numPr>
          <w:ilvl w:val="2"/>
          <w:numId w:val="4"/>
        </w:numPr>
        <w:tabs>
          <w:tab w:val="clear" w:pos="1440"/>
        </w:tabs>
        <w:spacing w:before="80"/>
        <w:ind w:hanging="4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tài sản được bảo hiểm bị lấy cắp khi Người trông nom tài sản, sau khi bị tai nạn hoặc do nguyên nhân nào khác mà không phải do lỗi của mình bị mất sức kháng cự do bị suy yếu về tình trạng thể lực của bản thân. </w:t>
      </w:r>
    </w:p>
    <w:p w:rsidR="004D2003" w:rsidRPr="008F62D5" w:rsidRDefault="00457801" w:rsidP="004533F2">
      <w:pPr>
        <w:numPr>
          <w:ilvl w:val="1"/>
          <w:numId w:val="4"/>
        </w:numPr>
        <w:tabs>
          <w:tab w:val="clear" w:pos="1080"/>
        </w:tabs>
        <w:spacing w:before="80"/>
        <w:ind w:left="96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b/>
          <w:bCs/>
          <w:color w:val="000000"/>
          <w:sz w:val="22"/>
          <w:szCs w:val="22"/>
        </w:rPr>
        <w:t xml:space="preserve"> </w:t>
      </w:r>
      <w:r w:rsidR="004D2003" w:rsidRPr="008F62D5">
        <w:rPr>
          <w:rFonts w:asciiTheme="minorHAnsi" w:hAnsiTheme="minorHAnsi" w:cstheme="minorHAnsi"/>
          <w:color w:val="000000"/>
          <w:sz w:val="22"/>
          <w:szCs w:val="22"/>
        </w:rPr>
        <w:t xml:space="preserve">bồi thường theo Quy tắc bảo hiểm này trên cơ sở tổn thất ban đầu cho tới hạn mức cao nhất bằng số tiền bảo hiểm đã thoả thuan cho mỗi chuyến đối với những mất mát xảy ra trong thời gian hiệu lực của hợp đồng bảo hiểm ghi trong Giấy chứng nhận bảo hiểm kèm theo hoặc trong thời hạn bảo hiểm thêm mà </w:t>
      </w: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color w:val="000000"/>
          <w:sz w:val="22"/>
          <w:szCs w:val="22"/>
        </w:rPr>
        <w:t xml:space="preserve"> có thể chấp nhận bằng việc trả phí tái tục lại hợp đồng. </w:t>
      </w:r>
    </w:p>
    <w:p w:rsidR="0000569B" w:rsidRPr="008F62D5" w:rsidRDefault="0000569B" w:rsidP="0000569B">
      <w:pPr>
        <w:pStyle w:val="Default"/>
        <w:rPr>
          <w:rFonts w:asciiTheme="minorHAnsi" w:hAnsiTheme="minorHAnsi" w:cstheme="minorHAnsi"/>
        </w:rPr>
      </w:pPr>
    </w:p>
    <w:p w:rsidR="004D2003" w:rsidRPr="008F62D5" w:rsidRDefault="004D2003" w:rsidP="00102226">
      <w:pPr>
        <w:numPr>
          <w:ilvl w:val="0"/>
          <w:numId w:val="4"/>
        </w:numPr>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Các điểm loại trừ: </w:t>
      </w:r>
    </w:p>
    <w:p w:rsidR="004D2003" w:rsidRPr="008F62D5" w:rsidRDefault="00457801" w:rsidP="004533F2">
      <w:pPr>
        <w:spacing w:before="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b/>
          <w:bCs/>
          <w:color w:val="000000"/>
          <w:sz w:val="22"/>
          <w:szCs w:val="22"/>
        </w:rPr>
        <w:t xml:space="preserve"> </w:t>
      </w:r>
      <w:r w:rsidR="004D2003" w:rsidRPr="008F62D5">
        <w:rPr>
          <w:rFonts w:asciiTheme="minorHAnsi" w:hAnsiTheme="minorHAnsi" w:cstheme="minorHAnsi"/>
          <w:color w:val="000000"/>
          <w:sz w:val="22"/>
          <w:szCs w:val="22"/>
        </w:rPr>
        <w:t xml:space="preserve">sẽ không chịu trách nhiệm theo Quy tắc bảo hiểm này về những hậu quả dù là trực tiếp hay gián tiếp của: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việc chuyên chở là của các hãng vận chuyển tiền chuyên nghiệp;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sự tham ô, cất giấu, cải tín, bội tín, hoặc hành động gian lận, không thành thật của phía Người được bảo hiểm hay các bên có cùng quyền lợi với bên Người được bảo hiểm, người làm công hay đại lý hay người nào  khác của Người được bảo hiểm;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hành động cố ý hay lỗi cố ý của Người được bảo hiểm;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không lý giải được, biến mất một cách bí hiểm, mất mát hay thiếu hụt được phát hiện trong khi tiến hành kiểm kê, thiếu hut do lầm lẫn hay lỗi về kế toán hay hành chính, các hoạt động sai sót;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mang tính chất là hậu quả, mất mát hay thiếu hụt do đồng tiền bị mất giá hay lạm phát;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do xe không có người hộ tống, mất cap thông thường, mất cắp do bị lừa;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những khiếu nại về trách nhiệm, thương tật hay thiệt hại đối với phương tiện chuyên chở;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do máy bay hay các phương tiện hàng không khác bay với tốc độ âm thanh hay siêu âm và do sức ép sóng của các thiết bị đó;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do hao mòn tự nhiên, mối mọt hay các côn trùng khác;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do động đất, núi lửa phun, lụt, bão xoáy, lốc, giông tố hay chấn động thiên </w:t>
      </w:r>
      <w:r w:rsidRPr="008F62D5">
        <w:rPr>
          <w:rFonts w:asciiTheme="minorHAnsi" w:hAnsiTheme="minorHAnsi" w:cstheme="minorHAnsi"/>
          <w:color w:val="000000"/>
          <w:sz w:val="22"/>
          <w:szCs w:val="22"/>
        </w:rPr>
        <w:lastRenderedPageBreak/>
        <w:t xml:space="preserve">nhiên hoặc xáo động khí quyển;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phát sinh trực tiếp hoặc gián tiếp do chậm trễ trưng thu hay bắt giữ của hải quan hay nhà cầm quyền hay chính quyền địa phương;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do chiến tranh (dù công bố hay không công bố), xâm lược, hành động thù địch, chiến sự, quân sự, lực lượng thủy quân hay lực lượng tiếm quyền, luật quân sự, bắt giữ của nhà nước, cách mạng, bạo loạn, đình công, nổi loạn dân sự, khởi nghĩa, binh biến, âm mưu, hành động khủng bố, trưng thu phá hủy theo lệnh của chính phủ hay nhà cầm quyền; </w:t>
      </w:r>
    </w:p>
    <w:p w:rsidR="004D2003" w:rsidRPr="008F62D5" w:rsidRDefault="004D2003" w:rsidP="004533F2">
      <w:pPr>
        <w:numPr>
          <w:ilvl w:val="1"/>
          <w:numId w:val="4"/>
        </w:numPr>
        <w:tabs>
          <w:tab w:val="clear" w:pos="1080"/>
        </w:tabs>
        <w:spacing w:before="80"/>
        <w:ind w:left="960" w:right="-288"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mát hay thiệt hại do phản ứng hạt nhân, phóng xạ, hoặc nhiễm phóng xạ hạt nhân. </w:t>
      </w:r>
    </w:p>
    <w:p w:rsidR="004533F2" w:rsidRPr="008F62D5" w:rsidRDefault="004533F2" w:rsidP="004533F2">
      <w:pPr>
        <w:spacing w:before="80"/>
        <w:jc w:val="both"/>
        <w:rPr>
          <w:rFonts w:asciiTheme="minorHAnsi" w:hAnsiTheme="minorHAnsi" w:cstheme="minorHAnsi"/>
          <w:b/>
          <w:bCs/>
          <w:color w:val="000000"/>
          <w:sz w:val="22"/>
          <w:szCs w:val="22"/>
        </w:rPr>
      </w:pPr>
    </w:p>
    <w:p w:rsidR="004D2003" w:rsidRPr="008F62D5" w:rsidRDefault="004D2003" w:rsidP="004533F2">
      <w:pPr>
        <w:spacing w:before="8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II/ Tiền cất giữ trong kho </w:t>
      </w:r>
    </w:p>
    <w:p w:rsidR="004D2003" w:rsidRPr="008F62D5" w:rsidRDefault="004D2003" w:rsidP="004533F2">
      <w:pPr>
        <w:numPr>
          <w:ilvl w:val="0"/>
          <w:numId w:val="9"/>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Phạm vi bảo hiểm   </w:t>
      </w:r>
    </w:p>
    <w:p w:rsidR="004D2003" w:rsidRPr="008F62D5" w:rsidRDefault="00457801" w:rsidP="004533F2">
      <w:pPr>
        <w:tabs>
          <w:tab w:val="left" w:pos="96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b/>
          <w:bCs/>
          <w:color w:val="000000"/>
          <w:sz w:val="22"/>
          <w:szCs w:val="22"/>
        </w:rPr>
        <w:t xml:space="preserve"> </w:t>
      </w:r>
      <w:r w:rsidR="004D2003" w:rsidRPr="008F62D5">
        <w:rPr>
          <w:rFonts w:asciiTheme="minorHAnsi" w:hAnsiTheme="minorHAnsi" w:cstheme="minorHAnsi"/>
          <w:color w:val="000000"/>
          <w:sz w:val="22"/>
          <w:szCs w:val="22"/>
        </w:rPr>
        <w:t xml:space="preserve">sẽ bồi thường cho những mất mát, thiệt hại hay huỷ hoại về tiền gồm: tiền   mặt, séc lữ hành, thẻ tín dụng, biên lai do bị ăn trộm, mất trộm dẫn đến ăn cướp hay bị ăn cướp hay có chủ định thực hiện một trong những hoat động trên trong phạm vi ngôi nhà được quy định trong Giấy chứng nhận bảo hiểm.  </w:t>
      </w:r>
    </w:p>
    <w:p w:rsidR="004D2003" w:rsidRPr="008F62D5" w:rsidRDefault="004D2003" w:rsidP="004533F2">
      <w:pPr>
        <w:numPr>
          <w:ilvl w:val="0"/>
          <w:numId w:val="2"/>
        </w:numPr>
        <w:tabs>
          <w:tab w:val="clear" w:pos="720"/>
        </w:tabs>
        <w:spacing w:before="80"/>
        <w:ind w:left="16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Thuật ngữ “ăn trộm” ở đây được áp dụng trong trường hợp nếu có người: </w:t>
      </w:r>
    </w:p>
    <w:p w:rsidR="004D2003" w:rsidRPr="008F62D5" w:rsidRDefault="004D2003" w:rsidP="004533F2">
      <w:pPr>
        <w:numPr>
          <w:ilvl w:val="1"/>
          <w:numId w:val="2"/>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đột nhập vao trong dinh cơ bằng cách phá để vào; </w:t>
      </w:r>
    </w:p>
    <w:p w:rsidR="004D2003" w:rsidRPr="008F62D5" w:rsidRDefault="004D2003" w:rsidP="004533F2">
      <w:pPr>
        <w:numPr>
          <w:ilvl w:val="1"/>
          <w:numId w:val="2"/>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phá mở két sắt, hầm kho hay các vật chứa đựng trong nhà; </w:t>
      </w:r>
    </w:p>
    <w:p w:rsidR="004D2003" w:rsidRPr="008F62D5" w:rsidRDefault="004D2003" w:rsidP="004533F2">
      <w:pPr>
        <w:numPr>
          <w:ilvl w:val="1"/>
          <w:numId w:val="2"/>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đột nhập vào nhà bằng chìa khoá gốc lấy được bằng cách ăn trộm hoặc ăn cắp; </w:t>
      </w:r>
    </w:p>
    <w:p w:rsidR="004D2003" w:rsidRPr="008F62D5" w:rsidRDefault="004D2003" w:rsidP="004533F2">
      <w:pPr>
        <w:numPr>
          <w:ilvl w:val="1"/>
          <w:numId w:val="2"/>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lẻn vào trong nhà, tức là bí mật lọt vào và có ý định trốn không để bị phát hiện. Tuy nhiên, bảo hiểm này chỉ bồi thường với điều kiện là kẻ trộm đó phải để lại dấu vết làm bằng chứng khi thoát ra khỏi nhà.  </w:t>
      </w:r>
    </w:p>
    <w:p w:rsidR="004D2003" w:rsidRPr="008F62D5" w:rsidRDefault="004D2003" w:rsidP="004533F2">
      <w:pPr>
        <w:numPr>
          <w:ilvl w:val="0"/>
          <w:numId w:val="2"/>
        </w:numPr>
        <w:tabs>
          <w:tab w:val="clear" w:pos="720"/>
        </w:tabs>
        <w:spacing w:before="80"/>
        <w:ind w:left="1440" w:hanging="4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Thuật ngữ “mất trộm dẫn đến ăn cướp” được áp dụng ở đây khi kẻ trộm bị bất ngờ bắt gặp trong khi có hành động ăn trộm và sau đó dùng các biện pháp nói trong điểm </w:t>
      </w:r>
      <w:r w:rsidR="00610A12" w:rsidRPr="008F62D5">
        <w:rPr>
          <w:rFonts w:asciiTheme="minorHAnsi" w:hAnsiTheme="minorHAnsi" w:cstheme="minorHAnsi"/>
          <w:color w:val="000000"/>
          <w:sz w:val="22"/>
          <w:szCs w:val="22"/>
        </w:rPr>
        <w:t>(c)</w:t>
      </w:r>
      <w:r w:rsidRPr="008F62D5">
        <w:rPr>
          <w:rFonts w:asciiTheme="minorHAnsi" w:hAnsiTheme="minorHAnsi" w:cstheme="minorHAnsi"/>
          <w:color w:val="000000"/>
          <w:sz w:val="22"/>
          <w:szCs w:val="22"/>
        </w:rPr>
        <w:t xml:space="preserve"> để giành lấy tài sản ăn trộm.  </w:t>
      </w:r>
    </w:p>
    <w:p w:rsidR="004D2003" w:rsidRPr="008F62D5" w:rsidRDefault="004D2003" w:rsidP="004533F2">
      <w:pPr>
        <w:numPr>
          <w:ilvl w:val="0"/>
          <w:numId w:val="2"/>
        </w:numPr>
        <w:tabs>
          <w:tab w:val="clear" w:pos="720"/>
        </w:tabs>
        <w:spacing w:before="80"/>
        <w:ind w:left="16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Thuật ngữ “ăn cướp” được áp dụng ở đây nếu: </w:t>
      </w:r>
    </w:p>
    <w:p w:rsidR="004D2003" w:rsidRPr="008F62D5" w:rsidRDefault="004D2003" w:rsidP="004533F2">
      <w:pPr>
        <w:numPr>
          <w:ilvl w:val="0"/>
          <w:numId w:val="24"/>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có sử dụng lại vũ lưc để chống lại Người được bảo hiểm hoặc nhân viên của họ nhằm loại trừ mọi kháng cự buộc phải giao nộp tài sản được bảo hiểm; </w:t>
      </w:r>
    </w:p>
    <w:p w:rsidR="004D2003" w:rsidRPr="008F62D5" w:rsidRDefault="004D2003" w:rsidP="004533F2">
      <w:pPr>
        <w:numPr>
          <w:ilvl w:val="0"/>
          <w:numId w:val="24"/>
        </w:numPr>
        <w:tabs>
          <w:tab w:val="clear" w:pos="360"/>
        </w:tabs>
        <w:spacing w:before="80"/>
        <w:ind w:left="2040" w:hanging="60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Người được bảo hiểm hay nhân viên của mình buộc phải giao nộp hoặc đưa tài sản được bảo hiểm cho kẻ cướp do bị đe dọa đến tính mệnh, nếu Người được bảo hiểm có nhiều nơi cất trữ tài sản được bảo hiểm thì điều này sẽ áp dụng với nơi có xảy ra sự đe dọa đến tính mệnh đó; </w:t>
      </w:r>
    </w:p>
    <w:p w:rsidR="004D2003" w:rsidRPr="008F62D5" w:rsidRDefault="004D2003" w:rsidP="004533F2">
      <w:pPr>
        <w:numPr>
          <w:ilvl w:val="0"/>
          <w:numId w:val="24"/>
        </w:numPr>
        <w:tabs>
          <w:tab w:val="clear" w:pos="360"/>
        </w:tabs>
        <w:spacing w:before="80"/>
        <w:ind w:left="2040" w:hanging="600"/>
        <w:jc w:val="both"/>
        <w:rPr>
          <w:rFonts w:asciiTheme="minorHAnsi" w:hAnsiTheme="minorHAnsi" w:cstheme="minorHAnsi"/>
        </w:rPr>
      </w:pPr>
      <w:r w:rsidRPr="008F62D5">
        <w:rPr>
          <w:rFonts w:asciiTheme="minorHAnsi" w:hAnsiTheme="minorHAnsi" w:cstheme="minorHAnsi"/>
          <w:color w:val="000000"/>
          <w:sz w:val="22"/>
          <w:szCs w:val="22"/>
        </w:rPr>
        <w:t xml:space="preserve">tài sản bảo hiểm của Người được bao hiểm hay nhân viên của mình bị lấy mất vì Người được bảo hiểm hay nhân viên của mình bị mất sức kháng cự do bị suy yếu về tình trạng thể lực vì bị tai nạn hay do nguyên nhân nào khác mà họ không bị quy là có trách nhiệm. </w:t>
      </w:r>
      <w:r w:rsidRPr="008F62D5">
        <w:rPr>
          <w:rFonts w:asciiTheme="minorHAnsi" w:hAnsiTheme="minorHAnsi" w:cstheme="minorHAnsi"/>
        </w:rPr>
        <w:t xml:space="preserve"> </w:t>
      </w:r>
    </w:p>
    <w:p w:rsidR="004D2003" w:rsidRPr="008F62D5" w:rsidRDefault="004D2003" w:rsidP="004533F2">
      <w:pPr>
        <w:spacing w:before="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Đối với các mục </w:t>
      </w:r>
      <w:r w:rsidR="0068008B" w:rsidRPr="008F62D5">
        <w:rPr>
          <w:rFonts w:asciiTheme="minorHAnsi" w:hAnsiTheme="minorHAnsi" w:cstheme="minorHAnsi"/>
          <w:color w:val="000000"/>
          <w:sz w:val="22"/>
          <w:szCs w:val="22"/>
        </w:rPr>
        <w:t>c (i)</w:t>
      </w:r>
      <w:r w:rsidRPr="008F62D5">
        <w:rPr>
          <w:rFonts w:asciiTheme="minorHAnsi" w:hAnsiTheme="minorHAnsi" w:cstheme="minorHAnsi"/>
          <w:color w:val="000000"/>
          <w:sz w:val="22"/>
          <w:szCs w:val="22"/>
        </w:rPr>
        <w:t xml:space="preserve"> - </w:t>
      </w:r>
      <w:r w:rsidR="00610A12" w:rsidRPr="008F62D5">
        <w:rPr>
          <w:rFonts w:asciiTheme="minorHAnsi" w:hAnsiTheme="minorHAnsi" w:cstheme="minorHAnsi"/>
          <w:color w:val="000000"/>
          <w:sz w:val="22"/>
          <w:szCs w:val="22"/>
        </w:rPr>
        <w:t xml:space="preserve">c (iii) </w:t>
      </w:r>
      <w:r w:rsidRPr="008F62D5">
        <w:rPr>
          <w:rFonts w:asciiTheme="minorHAnsi" w:hAnsiTheme="minorHAnsi" w:cstheme="minorHAnsi"/>
          <w:color w:val="000000"/>
          <w:sz w:val="22"/>
          <w:szCs w:val="22"/>
        </w:rPr>
        <w:t xml:space="preserve">mọi thành viên thuộc gia đình Người được bảo hiểm ở tuổi trưởng thành mà được giao nhiệm vụ trông coi tài sản được bảo hiểm trong một thời hạn nhất định cũng sẽ được coi có tư cách như là một nhân viên của Người được bảo hiểm. </w:t>
      </w:r>
    </w:p>
    <w:p w:rsidR="004D2003" w:rsidRPr="008F62D5" w:rsidRDefault="004D2003">
      <w:pPr>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 </w:t>
      </w:r>
    </w:p>
    <w:p w:rsidR="004D2003" w:rsidRPr="008F62D5" w:rsidRDefault="004D2003" w:rsidP="00FF094D">
      <w:pPr>
        <w:numPr>
          <w:ilvl w:val="0"/>
          <w:numId w:val="9"/>
        </w:numPr>
        <w:tabs>
          <w:tab w:val="clear" w:pos="720"/>
        </w:tabs>
        <w:ind w:left="36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Các điểm loại trừ: </w:t>
      </w:r>
    </w:p>
    <w:p w:rsidR="004D2003" w:rsidRPr="008F62D5" w:rsidRDefault="004D2003" w:rsidP="004533F2">
      <w:pPr>
        <w:spacing w:before="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Quy tắc bảo hiểm này sẽ không chịu trách nhiệm đối với những mất mát nảy sinh trực tiếp hay gián tiếp từ: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tham ô, làm giả, gian lận hoặc hành động khác có tính cố ý hay sơ ý hiển nhiên của Người được bảo hiểm, thành viên trong gia đình, người quản gia hay người làm công của mình;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mất không lý giải được, biến mất một cách bí hiểm, thiếu hụt trong kiểm kê, thiếu hụt do sai sót về kế toán hay sai sót kiểm đếm trong quá trình kiểm kê;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ăn cắp vặt, ăn cắp ở cửa hàng, mất cắp do bị lừa vv.... tức là tất cả các loại mất cắp mà không có </w:t>
      </w:r>
      <w:r w:rsidRPr="008F62D5">
        <w:rPr>
          <w:rFonts w:asciiTheme="minorHAnsi" w:hAnsiTheme="minorHAnsi" w:cstheme="minorHAnsi"/>
          <w:color w:val="000000"/>
          <w:sz w:val="22"/>
          <w:szCs w:val="22"/>
        </w:rPr>
        <w:lastRenderedPageBreak/>
        <w:t xml:space="preserve">liên quan trực tiếp đến sự đe dọa bằng vũ lực chống lại người hay đối tượng;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thao tác hay sử dụng sai các thiết bị thống kê máy tính điện tử; cũng loại trừ cả những thiệt hại của mọi loại thiết bị điện tử đó (phần cứng và phần mềm);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cháy</w:t>
      </w:r>
      <w:r w:rsidR="00AE3C75" w:rsidRPr="008F62D5">
        <w:rPr>
          <w:rFonts w:asciiTheme="minorHAnsi" w:hAnsiTheme="minorHAnsi" w:cstheme="minorHAnsi"/>
          <w:color w:val="000000"/>
          <w:sz w:val="22"/>
          <w:szCs w:val="22"/>
        </w:rPr>
        <w:t>,</w:t>
      </w:r>
      <w:r w:rsidRPr="008F62D5">
        <w:rPr>
          <w:rFonts w:asciiTheme="minorHAnsi" w:hAnsiTheme="minorHAnsi" w:cstheme="minorHAnsi"/>
          <w:color w:val="000000"/>
          <w:sz w:val="22"/>
          <w:szCs w:val="22"/>
        </w:rPr>
        <w:t xml:space="preserve"> nổ hay rò rỉ nguồn nước chính kể cả trường hợp nếu thiệt hại này gây ra do hậu quả của trộm cắp; </w:t>
      </w:r>
    </w:p>
    <w:p w:rsidR="004D2003" w:rsidRPr="008F62D5" w:rsidRDefault="004D2003" w:rsidP="004533F2">
      <w:pPr>
        <w:numPr>
          <w:ilvl w:val="1"/>
          <w:numId w:val="11"/>
        </w:numPr>
        <w:tabs>
          <w:tab w:val="clear" w:pos="720"/>
          <w:tab w:val="left" w:pos="1080"/>
        </w:tabs>
        <w:spacing w:before="80"/>
        <w:ind w:left="10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các hành động về chiến tranh, nổi loạn dân sự, bắt giữ, động đất, hay năng lượng hạt nhân. </w:t>
      </w:r>
    </w:p>
    <w:p w:rsidR="004917CB" w:rsidRPr="008F62D5" w:rsidRDefault="004917CB" w:rsidP="004917CB">
      <w:pPr>
        <w:pStyle w:val="Default"/>
        <w:rPr>
          <w:rFonts w:asciiTheme="minorHAnsi" w:hAnsiTheme="minorHAnsi" w:cstheme="minorHAnsi"/>
        </w:rPr>
      </w:pPr>
    </w:p>
    <w:p w:rsidR="004D2003" w:rsidRPr="008F62D5" w:rsidRDefault="004D2003" w:rsidP="004917CB">
      <w:pPr>
        <w:spacing w:before="80"/>
        <w:jc w:val="both"/>
        <w:rPr>
          <w:rFonts w:asciiTheme="minorHAnsi" w:hAnsiTheme="minorHAnsi" w:cstheme="minorHAnsi"/>
          <w:color w:val="000000"/>
          <w:sz w:val="22"/>
          <w:szCs w:val="22"/>
        </w:rPr>
      </w:pPr>
      <w:r w:rsidRPr="008F62D5">
        <w:rPr>
          <w:rFonts w:asciiTheme="minorHAnsi" w:hAnsiTheme="minorHAnsi" w:cstheme="minorHAnsi"/>
          <w:b/>
          <w:bCs/>
          <w:color w:val="000000"/>
          <w:sz w:val="22"/>
          <w:szCs w:val="22"/>
        </w:rPr>
        <w:t xml:space="preserve">III/ Các điều kiện chung: </w:t>
      </w:r>
    </w:p>
    <w:p w:rsidR="004D2003" w:rsidRPr="008F62D5" w:rsidRDefault="004D2003" w:rsidP="004917CB">
      <w:pPr>
        <w:spacing w:before="8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Quy tắc bảo hiểm và Giấy chứng nhận bảo hiểm này được coi là một hợp đồng và mọi từ ngữ hay cụm từ bao hàm một ý nghĩa cụ thể được quy định ở phần nào của Quy tắc bảo hiểm hay Giấy chứng nhận bảo hiểm sẽ mang cùng một ý nghĩa trong toàn bộ hợp đồng.  </w:t>
      </w:r>
    </w:p>
    <w:p w:rsidR="004D2003" w:rsidRPr="008F62D5" w:rsidRDefault="004D2003" w:rsidP="004917CB">
      <w:pPr>
        <w:numPr>
          <w:ilvl w:val="0"/>
          <w:numId w:val="3"/>
        </w:numPr>
        <w:spacing w:before="80"/>
        <w:ind w:left="360" w:hanging="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1. </w:t>
      </w:r>
      <w:r w:rsidR="000617A0" w:rsidRPr="008F62D5">
        <w:rPr>
          <w:rFonts w:asciiTheme="minorHAnsi" w:hAnsiTheme="minorHAnsi" w:cstheme="minorHAnsi"/>
          <w:color w:val="000000"/>
          <w:sz w:val="22"/>
          <w:szCs w:val="22"/>
        </w:rPr>
        <w:tab/>
      </w:r>
      <w:r w:rsidRPr="008F62D5">
        <w:rPr>
          <w:rFonts w:asciiTheme="minorHAnsi" w:hAnsiTheme="minorHAnsi" w:cstheme="minorHAnsi"/>
          <w:color w:val="000000"/>
          <w:sz w:val="22"/>
          <w:szCs w:val="22"/>
        </w:rPr>
        <w:t xml:space="preserve">Quyền lợi của Người được bảo hiểm theo Quy tắc bảo hiểm này sẽ không được chuyển nhượng trừ khi có sự đồng ý bằng văn bản của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w:t>
      </w:r>
    </w:p>
    <w:p w:rsidR="004D2003" w:rsidRPr="008F62D5" w:rsidRDefault="004D2003"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Người được bảo hiểm phải thực hiện mọi biện pháp phòng ngừa hợp lý vì sự an toàn của Tiền và ngay khi biết được có sự cố dẫn đến hoặc có khả năng dẫn đến khiếu nại theo đơn bảo hiểm này thì phải: </w:t>
      </w:r>
    </w:p>
    <w:p w:rsidR="004D2003" w:rsidRPr="008F62D5" w:rsidRDefault="004D2003" w:rsidP="004917CB">
      <w:pPr>
        <w:numPr>
          <w:ilvl w:val="0"/>
          <w:numId w:val="19"/>
        </w:numPr>
        <w:tabs>
          <w:tab w:val="clear" w:pos="1871"/>
          <w:tab w:val="left" w:pos="1080"/>
        </w:tabs>
        <w:spacing w:before="80"/>
        <w:ind w:left="1080" w:hanging="72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thông báo cho công an và tạo mọi điều kiện hợp lý hỗ trợ cho công an trong việc điều tra tội phạm và tìm kiếm lại Tiền đã mất; </w:t>
      </w:r>
    </w:p>
    <w:p w:rsidR="004D2003" w:rsidRPr="008F62D5" w:rsidRDefault="004D2003" w:rsidP="004917CB">
      <w:pPr>
        <w:numPr>
          <w:ilvl w:val="0"/>
          <w:numId w:val="19"/>
        </w:numPr>
        <w:tabs>
          <w:tab w:val="clear" w:pos="1871"/>
          <w:tab w:val="left" w:pos="1080"/>
        </w:tabs>
        <w:spacing w:before="80"/>
        <w:ind w:left="1080" w:hanging="72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thông báo về sự vụ này cho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bằng văn bản và trong vòng 07 ngày sau đó gửi cho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giấy đòi bồi thường và cung cấp mọi bằng chứng và chi tiết có liên quan mà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có thể yêu cầu. </w:t>
      </w:r>
    </w:p>
    <w:p w:rsidR="004D2003" w:rsidRPr="008F62D5" w:rsidRDefault="004D2003" w:rsidP="004917CB">
      <w:pPr>
        <w:numPr>
          <w:ilvl w:val="0"/>
          <w:numId w:val="3"/>
        </w:numPr>
        <w:spacing w:before="80"/>
        <w:ind w:left="352"/>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Trong mọi trường hợp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sẽ không chịu trách nhiệm bồi thường cho những mất mát mà không thông báo cho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trong vòng 14 ngày kể từ ngày xảy ra sự cố.  </w:t>
      </w:r>
    </w:p>
    <w:p w:rsidR="004D2003" w:rsidRPr="008F62D5" w:rsidRDefault="004D2003"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Bằng chi phí của mình, vào bất cứ lúc nào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b/>
          <w:bCs/>
          <w:color w:val="000000"/>
          <w:sz w:val="22"/>
          <w:szCs w:val="22"/>
        </w:rPr>
        <w:t xml:space="preserve"> </w:t>
      </w:r>
      <w:r w:rsidRPr="008F62D5">
        <w:rPr>
          <w:rFonts w:asciiTheme="minorHAnsi" w:hAnsiTheme="minorHAnsi" w:cstheme="minorHAnsi"/>
          <w:color w:val="000000"/>
          <w:sz w:val="22"/>
          <w:szCs w:val="22"/>
        </w:rPr>
        <w:t xml:space="preserve">có quyền sử dụng mọi biện pháp pháp lý với danh nghĩa của Người được bảo hiểm để tìm kiếm khoản Tiền đã bị mất và các vật là đối tượng của khiếu nại theo đơn bảo hiểm này và Người được bảo hiểm phải tạo mọi điều kiện hỗ trợ hợp lý cho mục đích này.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có quyền đối với các khoản Tiền bị mất mà đã bồi thường cho Người được bảo hiểm và Người được bảo hiểm phải thực hiện mọi biện pháp đảm bảo và thế quyền cho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b/>
          <w:bCs/>
          <w:color w:val="000000"/>
          <w:sz w:val="22"/>
          <w:szCs w:val="22"/>
        </w:rPr>
        <w:t xml:space="preserve"> </w:t>
      </w:r>
      <w:r w:rsidRPr="008F62D5">
        <w:rPr>
          <w:rFonts w:asciiTheme="minorHAnsi" w:hAnsiTheme="minorHAnsi" w:cstheme="minorHAnsi"/>
          <w:color w:val="000000"/>
          <w:sz w:val="22"/>
          <w:szCs w:val="22"/>
        </w:rPr>
        <w:t xml:space="preserve">đối với khoản Tiền bị mất đó khi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b/>
          <w:bCs/>
          <w:color w:val="000000"/>
          <w:sz w:val="22"/>
          <w:szCs w:val="22"/>
        </w:rPr>
        <w:t xml:space="preserve"> </w:t>
      </w:r>
      <w:r w:rsidRPr="008F62D5">
        <w:rPr>
          <w:rFonts w:asciiTheme="minorHAnsi" w:hAnsiTheme="minorHAnsi" w:cstheme="minorHAnsi"/>
          <w:color w:val="000000"/>
          <w:sz w:val="22"/>
          <w:szCs w:val="22"/>
        </w:rPr>
        <w:t xml:space="preserve">yêu cầu.  </w:t>
      </w:r>
    </w:p>
    <w:p w:rsidR="004D2003" w:rsidRPr="008F62D5" w:rsidRDefault="00457801"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b/>
          <w:bCs/>
          <w:color w:val="000000"/>
          <w:sz w:val="22"/>
          <w:szCs w:val="22"/>
        </w:rPr>
        <w:t xml:space="preserve"> </w:t>
      </w:r>
      <w:r w:rsidR="004D2003" w:rsidRPr="008F62D5">
        <w:rPr>
          <w:rFonts w:asciiTheme="minorHAnsi" w:hAnsiTheme="minorHAnsi" w:cstheme="minorHAnsi"/>
          <w:color w:val="000000"/>
          <w:sz w:val="22"/>
          <w:szCs w:val="22"/>
        </w:rPr>
        <w:t xml:space="preserve">sẽ không bồi thường đối với những tổn thất nếu có sự thay đổi về các điều kiện của rủi ro bảo hiểm so với lúc ban đầu tham gia bảo hiểm trừ khi có sự thoả thuận trước của </w:t>
      </w: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color w:val="000000"/>
          <w:sz w:val="22"/>
          <w:szCs w:val="22"/>
        </w:rPr>
        <w:t xml:space="preserve">.  </w:t>
      </w:r>
    </w:p>
    <w:p w:rsidR="004D2003" w:rsidRPr="008F62D5" w:rsidRDefault="004D2003"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Sổ sách của Người được bảo hiểm phải ghi chép đầy đủ rõ ràng các khoản tiền được bảo hiểm (bao gồm cả tên các nhân viên và số tiền lương, thưởng hoặc các khoản thu khác của nhân viên). Người được bảo hiểm đồng ý cho phép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được quyền kiểm tra sổ sách đó vào bất cứ lúc nào. Sổ sách cũng phải ghi chép cụ thể các khoản trên để trong két sắt, kho cất giữ và để ở các nơi khác ngoài két sắt và kho đó.  </w:t>
      </w:r>
    </w:p>
    <w:p w:rsidR="004D2003" w:rsidRPr="008F62D5" w:rsidRDefault="004D2003"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 xml:space="preserve">Nếu tại thời điểm xảy ra tổn thất mà có một bảo hiểm khác do Người được bảo hiểm hay người đại diện cho mình thực hiện cùng bảo hiểm cho số tiền đó thì tránh nhiệm bồi thường của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đối với thiệt hại này sẽ được tính theo tỷ lệ tương ứng.  </w:t>
      </w:r>
    </w:p>
    <w:p w:rsidR="004D2003" w:rsidRPr="008F62D5" w:rsidRDefault="00457801"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Bảo Hiểm AAA</w:t>
      </w:r>
      <w:r w:rsidR="004D2003" w:rsidRPr="008F62D5">
        <w:rPr>
          <w:rFonts w:asciiTheme="minorHAnsi" w:hAnsiTheme="minorHAnsi" w:cstheme="minorHAnsi"/>
          <w:b/>
          <w:bCs/>
          <w:color w:val="000000"/>
          <w:sz w:val="22"/>
          <w:szCs w:val="22"/>
        </w:rPr>
        <w:t xml:space="preserve"> </w:t>
      </w:r>
      <w:r w:rsidR="004D2003" w:rsidRPr="008F62D5">
        <w:rPr>
          <w:rFonts w:asciiTheme="minorHAnsi" w:hAnsiTheme="minorHAnsi" w:cstheme="minorHAnsi"/>
          <w:color w:val="000000"/>
          <w:sz w:val="22"/>
          <w:szCs w:val="22"/>
        </w:rPr>
        <w:t xml:space="preserve">có thể hủy hợp đồng bảo hiểm bằng cách thông báo bằng thư đảm bảo hay thư có ký nhận trước 07 ngày cho Người được bảo hiểm theo địa chỉ mới nhất và trong trường hợp như vậy sẽ hoàn thành lại phần phí bảo hiểm tương ứng của thời hạn bảo hiểm còn lại cho Người được bảo hiểm.  </w:t>
      </w:r>
    </w:p>
    <w:p w:rsidR="004D2003" w:rsidRPr="008F62D5" w:rsidRDefault="004D2003" w:rsidP="004917CB">
      <w:pPr>
        <w:numPr>
          <w:ilvl w:val="0"/>
          <w:numId w:val="13"/>
        </w:numPr>
        <w:tabs>
          <w:tab w:val="clear" w:pos="720"/>
        </w:tabs>
        <w:spacing w:before="80"/>
        <w:ind w:left="360"/>
        <w:jc w:val="both"/>
        <w:rPr>
          <w:rFonts w:asciiTheme="minorHAnsi" w:hAnsiTheme="minorHAnsi" w:cstheme="minorHAnsi"/>
          <w:color w:val="000000"/>
          <w:sz w:val="22"/>
          <w:szCs w:val="22"/>
        </w:rPr>
      </w:pPr>
      <w:r w:rsidRPr="008F62D5">
        <w:rPr>
          <w:rFonts w:asciiTheme="minorHAnsi" w:hAnsiTheme="minorHAnsi" w:cstheme="minorHAnsi"/>
          <w:color w:val="000000"/>
          <w:sz w:val="22"/>
          <w:szCs w:val="22"/>
        </w:rPr>
        <w:t>Nếu có sự tranh chấp nảy sinh về số tiền bồi thường theo Quy tắc bảo hiểm này thì tranh chấp sẽ được đưa ra một trọng tài do hai bên chỉ định phù hợp với c</w:t>
      </w:r>
      <w:r w:rsidR="00E90DDB" w:rsidRPr="008F62D5">
        <w:rPr>
          <w:rFonts w:asciiTheme="minorHAnsi" w:hAnsiTheme="minorHAnsi" w:cstheme="minorHAnsi"/>
          <w:color w:val="000000"/>
          <w:sz w:val="22"/>
          <w:szCs w:val="22"/>
        </w:rPr>
        <w:t>á</w:t>
      </w:r>
      <w:r w:rsidRPr="008F62D5">
        <w:rPr>
          <w:rFonts w:asciiTheme="minorHAnsi" w:hAnsiTheme="minorHAnsi" w:cstheme="minorHAnsi"/>
          <w:color w:val="000000"/>
          <w:sz w:val="22"/>
          <w:szCs w:val="22"/>
        </w:rPr>
        <w:t xml:space="preserve">c quy định pháp luật để giải quyết trong thời hạn hiệu lực của hợp đồng. Trong trường hợp có sự tranh chấp cần phải đưa ra trọng tài thì sự phán quyết của trọng tài sẽ là điều kiện tiên quyết đối với mọi quyền khiếu nại chống lại </w:t>
      </w:r>
      <w:r w:rsidR="00457801" w:rsidRPr="008F62D5">
        <w:rPr>
          <w:rFonts w:asciiTheme="minorHAnsi" w:hAnsiTheme="minorHAnsi" w:cstheme="minorHAnsi"/>
          <w:color w:val="000000"/>
          <w:sz w:val="22"/>
          <w:szCs w:val="22"/>
        </w:rPr>
        <w:t>Bảo Hiểm AAA</w:t>
      </w:r>
      <w:r w:rsidRPr="008F62D5">
        <w:rPr>
          <w:rFonts w:asciiTheme="minorHAnsi" w:hAnsiTheme="minorHAnsi" w:cstheme="minorHAnsi"/>
          <w:color w:val="000000"/>
          <w:sz w:val="22"/>
          <w:szCs w:val="22"/>
        </w:rPr>
        <w:t xml:space="preserve">.  </w:t>
      </w:r>
    </w:p>
    <w:p w:rsidR="004D2003" w:rsidRPr="00297D32" w:rsidRDefault="004D2003" w:rsidP="00637A6A">
      <w:pPr>
        <w:numPr>
          <w:ilvl w:val="0"/>
          <w:numId w:val="13"/>
        </w:numPr>
        <w:tabs>
          <w:tab w:val="clear" w:pos="720"/>
        </w:tabs>
        <w:spacing w:before="80"/>
        <w:ind w:left="360"/>
        <w:jc w:val="both"/>
        <w:rPr>
          <w:rFonts w:asciiTheme="minorHAnsi" w:hAnsiTheme="minorHAnsi" w:cstheme="minorHAnsi"/>
          <w:color w:val="000000"/>
          <w:sz w:val="22"/>
          <w:szCs w:val="22"/>
        </w:rPr>
      </w:pPr>
      <w:r w:rsidRPr="00297D32">
        <w:rPr>
          <w:rFonts w:asciiTheme="minorHAnsi" w:hAnsiTheme="minorHAnsi" w:cstheme="minorHAnsi"/>
          <w:color w:val="000000"/>
          <w:sz w:val="22"/>
          <w:szCs w:val="22"/>
        </w:rPr>
        <w:t xml:space="preserve">Điều kiện tiên quyết ràng buộc </w:t>
      </w:r>
      <w:r w:rsidR="00457801" w:rsidRPr="00297D32">
        <w:rPr>
          <w:rFonts w:asciiTheme="minorHAnsi" w:hAnsiTheme="minorHAnsi" w:cstheme="minorHAnsi"/>
          <w:color w:val="000000"/>
          <w:sz w:val="22"/>
          <w:szCs w:val="22"/>
        </w:rPr>
        <w:t>Bảo Hiểm AAA</w:t>
      </w:r>
      <w:r w:rsidRPr="00297D32">
        <w:rPr>
          <w:rFonts w:asciiTheme="minorHAnsi" w:hAnsiTheme="minorHAnsi" w:cstheme="minorHAnsi"/>
          <w:b/>
          <w:bCs/>
          <w:color w:val="000000"/>
          <w:sz w:val="22"/>
          <w:szCs w:val="22"/>
        </w:rPr>
        <w:t xml:space="preserve"> </w:t>
      </w:r>
      <w:r w:rsidRPr="00297D32">
        <w:rPr>
          <w:rFonts w:asciiTheme="minorHAnsi" w:hAnsiTheme="minorHAnsi" w:cstheme="minorHAnsi"/>
          <w:color w:val="000000"/>
          <w:sz w:val="22"/>
          <w:szCs w:val="22"/>
        </w:rPr>
        <w:t xml:space="preserve">trả tiền bồi thường tổn thất theo Quy tắc bảo hiểm này là Người được bảo hiểm phải thực hiện và tuân theo đầy đủ các điều kiện và nội dung quy định trong Quy tắc bảo hiểm và phải kê khai và trả lời trung thực các mục ghi trong Giấy yêu bảo hiểm và mọi yêu cầu có liên quan khác./. </w:t>
      </w:r>
      <w:bookmarkStart w:id="0" w:name="_GoBack"/>
      <w:bookmarkEnd w:id="0"/>
    </w:p>
    <w:sectPr w:rsidR="004D2003" w:rsidRPr="00297D32" w:rsidSect="004354CA">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C0" w:rsidRDefault="008E38C0">
      <w:r>
        <w:separator/>
      </w:r>
    </w:p>
  </w:endnote>
  <w:endnote w:type="continuationSeparator" w:id="0">
    <w:p w:rsidR="008E38C0" w:rsidRDefault="008E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8B" w:rsidRDefault="0068008B">
    <w:pPr>
      <w:pStyle w:val="Footer"/>
    </w:pPr>
  </w:p>
  <w:p w:rsidR="0068008B" w:rsidRPr="004354CA" w:rsidRDefault="0068008B" w:rsidP="004354CA">
    <w:pPr>
      <w:pStyle w:val="Footer"/>
      <w:tabs>
        <w:tab w:val="clear" w:pos="8640"/>
        <w:tab w:val="right" w:pos="9600"/>
      </w:tabs>
      <w:rPr>
        <w:i/>
        <w:iCs/>
        <w:sz w:val="20"/>
        <w:szCs w:val="20"/>
      </w:rPr>
    </w:pPr>
    <w:r w:rsidRPr="004354CA">
      <w:rPr>
        <w:i/>
        <w:iCs/>
        <w:sz w:val="20"/>
        <w:szCs w:val="20"/>
      </w:rPr>
      <w:t>Quy tắc bảo hiểm tiền</w:t>
    </w:r>
    <w:r w:rsidRPr="004354CA">
      <w:rPr>
        <w:i/>
        <w:iCs/>
        <w:sz w:val="20"/>
        <w:szCs w:val="20"/>
      </w:rPr>
      <w:tab/>
    </w:r>
    <w:r w:rsidRPr="004354CA">
      <w:rPr>
        <w:i/>
        <w:iCs/>
        <w:sz w:val="20"/>
        <w:szCs w:val="20"/>
      </w:rPr>
      <w:tab/>
    </w:r>
    <w:r w:rsidRPr="004354CA">
      <w:rPr>
        <w:rStyle w:val="PageNumber"/>
        <w:i/>
        <w:iCs/>
        <w:sz w:val="20"/>
        <w:szCs w:val="20"/>
      </w:rPr>
      <w:fldChar w:fldCharType="begin"/>
    </w:r>
    <w:r w:rsidRPr="004354CA">
      <w:rPr>
        <w:rStyle w:val="PageNumber"/>
        <w:i/>
        <w:iCs/>
        <w:sz w:val="20"/>
        <w:szCs w:val="20"/>
      </w:rPr>
      <w:instrText xml:space="preserve"> PAGE </w:instrText>
    </w:r>
    <w:r w:rsidRPr="004354CA">
      <w:rPr>
        <w:rStyle w:val="PageNumber"/>
        <w:i/>
        <w:iCs/>
        <w:sz w:val="20"/>
        <w:szCs w:val="20"/>
      </w:rPr>
      <w:fldChar w:fldCharType="separate"/>
    </w:r>
    <w:r w:rsidR="00297D32">
      <w:rPr>
        <w:rStyle w:val="PageNumber"/>
        <w:i/>
        <w:iCs/>
        <w:noProof/>
        <w:sz w:val="20"/>
        <w:szCs w:val="20"/>
      </w:rPr>
      <w:t>2</w:t>
    </w:r>
    <w:r w:rsidRPr="004354CA">
      <w:rPr>
        <w:rStyle w:val="PageNumber"/>
        <w:i/>
        <w:iCs/>
        <w:sz w:val="20"/>
        <w:szCs w:val="20"/>
      </w:rPr>
      <w:fldChar w:fldCharType="end"/>
    </w:r>
    <w:r w:rsidRPr="004354CA">
      <w:rPr>
        <w:rStyle w:val="PageNumber"/>
        <w:i/>
        <w:iCs/>
        <w:sz w:val="20"/>
        <w:szCs w:val="20"/>
      </w:rPr>
      <w:t>/</w:t>
    </w:r>
    <w:r w:rsidRPr="004354CA">
      <w:rPr>
        <w:rStyle w:val="PageNumber"/>
        <w:i/>
        <w:iCs/>
        <w:sz w:val="20"/>
        <w:szCs w:val="20"/>
      </w:rPr>
      <w:fldChar w:fldCharType="begin"/>
    </w:r>
    <w:r w:rsidRPr="004354CA">
      <w:rPr>
        <w:rStyle w:val="PageNumber"/>
        <w:i/>
        <w:iCs/>
        <w:sz w:val="20"/>
        <w:szCs w:val="20"/>
      </w:rPr>
      <w:instrText xml:space="preserve"> NUMPAGES </w:instrText>
    </w:r>
    <w:r w:rsidRPr="004354CA">
      <w:rPr>
        <w:rStyle w:val="PageNumber"/>
        <w:i/>
        <w:iCs/>
        <w:sz w:val="20"/>
        <w:szCs w:val="20"/>
      </w:rPr>
      <w:fldChar w:fldCharType="separate"/>
    </w:r>
    <w:r w:rsidR="00297D32">
      <w:rPr>
        <w:rStyle w:val="PageNumber"/>
        <w:i/>
        <w:iCs/>
        <w:noProof/>
        <w:sz w:val="20"/>
        <w:szCs w:val="20"/>
      </w:rPr>
      <w:t>3</w:t>
    </w:r>
    <w:r w:rsidRPr="004354CA">
      <w:rPr>
        <w:rStyle w:val="PageNumbe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C0" w:rsidRDefault="008E38C0">
      <w:r>
        <w:separator/>
      </w:r>
    </w:p>
  </w:footnote>
  <w:footnote w:type="continuationSeparator" w:id="0">
    <w:p w:rsidR="008E38C0" w:rsidRDefault="008E3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6FE6DB"/>
    <w:multiLevelType w:val="hybridMultilevel"/>
    <w:tmpl w:val="2BB960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C69E7"/>
    <w:multiLevelType w:val="hybridMultilevel"/>
    <w:tmpl w:val="0288857C"/>
    <w:lvl w:ilvl="0" w:tplc="5F9AE9B2">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
    <w:nsid w:val="09287E5A"/>
    <w:multiLevelType w:val="multilevel"/>
    <w:tmpl w:val="4712DB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613E3"/>
    <w:multiLevelType w:val="multilevel"/>
    <w:tmpl w:val="39F4CDA8"/>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02E95"/>
    <w:multiLevelType w:val="multilevel"/>
    <w:tmpl w:val="7626005C"/>
    <w:lvl w:ilvl="0">
      <w:start w:val="1"/>
      <w:numFmt w:val="decimal"/>
      <w:lvlText w:val="%1."/>
      <w:lvlJc w:val="left"/>
      <w:pPr>
        <w:tabs>
          <w:tab w:val="num" w:pos="360"/>
        </w:tabs>
        <w:ind w:left="360" w:hanging="360"/>
      </w:pPr>
      <w:rPr>
        <w:b/>
        <w:bCs/>
      </w:rPr>
    </w:lvl>
    <w:lvl w:ilvl="1">
      <w:start w:val="1"/>
      <w:numFmt w:val="decimal"/>
      <w:lvlText w:val="%1.%2."/>
      <w:lvlJc w:val="left"/>
      <w:pPr>
        <w:tabs>
          <w:tab w:val="num" w:pos="1080"/>
        </w:tabs>
        <w:ind w:left="792" w:hanging="432"/>
      </w:pPr>
    </w:lvl>
    <w:lvl w:ilvl="2">
      <w:start w:val="1"/>
      <w:numFmt w:val="lowerLetter"/>
      <w:lvlText w:val="%3)"/>
      <w:lvlJc w:val="left"/>
      <w:pPr>
        <w:tabs>
          <w:tab w:val="num" w:pos="1440"/>
        </w:tabs>
        <w:ind w:left="1440" w:hanging="720"/>
      </w:pPr>
      <w:rPr>
        <w:rFonts w:hint="default"/>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CB53E0C"/>
    <w:multiLevelType w:val="multilevel"/>
    <w:tmpl w:val="39F4CDA8"/>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CA33E7"/>
    <w:multiLevelType w:val="hybridMultilevel"/>
    <w:tmpl w:val="BC9AE4F8"/>
    <w:lvl w:ilvl="0" w:tplc="789C8F0A">
      <w:start w:val="1"/>
      <w:numFmt w:val="decimal"/>
      <w:lvlText w:val="2.%1"/>
      <w:lvlJc w:val="left"/>
      <w:pPr>
        <w:tabs>
          <w:tab w:val="num" w:pos="1871"/>
        </w:tabs>
        <w:ind w:left="1758" w:hanging="678"/>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5A1EE9"/>
    <w:multiLevelType w:val="multilevel"/>
    <w:tmpl w:val="3766C34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353103"/>
    <w:multiLevelType w:val="multilevel"/>
    <w:tmpl w:val="4ABA20BE"/>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73D4D"/>
    <w:multiLevelType w:val="multilevel"/>
    <w:tmpl w:val="615EBBD0"/>
    <w:lvl w:ilvl="0">
      <w:start w:val="1"/>
      <w:numFmt w:val="decimal"/>
      <w:lvlText w:val="%1."/>
      <w:lvlJc w:val="left"/>
      <w:pPr>
        <w:tabs>
          <w:tab w:val="num" w:pos="360"/>
        </w:tabs>
        <w:ind w:left="360" w:hanging="360"/>
      </w:pPr>
      <w:rPr>
        <w:b/>
        <w:bCs/>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22CB06A9"/>
    <w:multiLevelType w:val="hybridMultilevel"/>
    <w:tmpl w:val="364A041C"/>
    <w:lvl w:ilvl="0" w:tplc="F9083BF8">
      <w:start w:val="2"/>
      <w:numFmt w:val="decimal"/>
      <w:lvlText w:val="%1."/>
      <w:lvlJc w:val="left"/>
      <w:pPr>
        <w:tabs>
          <w:tab w:val="num" w:pos="720"/>
        </w:tabs>
        <w:ind w:left="720" w:hanging="360"/>
      </w:pPr>
      <w:rPr>
        <w:rFonts w:hint="default"/>
      </w:rPr>
    </w:lvl>
    <w:lvl w:ilvl="1" w:tplc="537AFFE2">
      <w:start w:val="1"/>
      <w:numFmt w:val="decimal"/>
      <w:suff w:val="nothing"/>
      <w:lvlText w:val="2.%2"/>
      <w:lvlJc w:val="left"/>
      <w:pPr>
        <w:ind w:left="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04661B7"/>
    <w:multiLevelType w:val="hybridMultilevel"/>
    <w:tmpl w:val="58289102"/>
    <w:lvl w:ilvl="0" w:tplc="6316BBD4">
      <w:start w:val="1"/>
      <w:numFmt w:val="lowerLetter"/>
      <w:lvlText w:val="%1)"/>
      <w:lvlJc w:val="left"/>
      <w:pPr>
        <w:tabs>
          <w:tab w:val="num" w:pos="720"/>
        </w:tabs>
        <w:ind w:left="720" w:hanging="720"/>
      </w:pPr>
      <w:rPr>
        <w:rFonts w:hint="default"/>
      </w:rPr>
    </w:lvl>
    <w:lvl w:ilvl="1" w:tplc="5F9AE9B2">
      <w:start w:val="1"/>
      <w:numFmt w:val="lowerRoman"/>
      <w:lvlText w:val="(%2)"/>
      <w:lvlJc w:val="left"/>
      <w:pPr>
        <w:tabs>
          <w:tab w:val="num" w:pos="360"/>
        </w:tabs>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9C5448"/>
    <w:multiLevelType w:val="multilevel"/>
    <w:tmpl w:val="3766C34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F35C1E"/>
    <w:multiLevelType w:val="multilevel"/>
    <w:tmpl w:val="4712DB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6441E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7143E19"/>
    <w:multiLevelType w:val="multilevel"/>
    <w:tmpl w:val="58289102"/>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E04E9"/>
    <w:multiLevelType w:val="hybridMultilevel"/>
    <w:tmpl w:val="4066DB82"/>
    <w:lvl w:ilvl="0" w:tplc="D58CD6CC">
      <w:start w:val="1"/>
      <w:numFmt w:val="decimal"/>
      <w:suff w:val="nothing"/>
      <w:lvlText w:val="2.%1"/>
      <w:lvlJc w:val="left"/>
      <w:pPr>
        <w:ind w:left="5284" w:hanging="604"/>
      </w:pPr>
      <w:rPr>
        <w:rFonts w:hint="default"/>
      </w:r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17">
    <w:nsid w:val="519E591E"/>
    <w:multiLevelType w:val="multilevel"/>
    <w:tmpl w:val="5784E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1DB73E5"/>
    <w:multiLevelType w:val="hybridMultilevel"/>
    <w:tmpl w:val="B7F83F7C"/>
    <w:lvl w:ilvl="0" w:tplc="D58CD6CC">
      <w:start w:val="1"/>
      <w:numFmt w:val="decimal"/>
      <w:suff w:val="nothing"/>
      <w:lvlText w:val="2.%1"/>
      <w:lvlJc w:val="left"/>
      <w:pPr>
        <w:ind w:left="964" w:hanging="6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3CC02AF"/>
    <w:multiLevelType w:val="multilevel"/>
    <w:tmpl w:val="E020B3C2"/>
    <w:lvl w:ilvl="0">
      <w:start w:val="1"/>
      <w:numFmt w:val="lowerLetter"/>
      <w:lvlText w:val="%1)"/>
      <w:lvlJc w:val="left"/>
      <w:pPr>
        <w:tabs>
          <w:tab w:val="num" w:pos="720"/>
        </w:tabs>
        <w:ind w:left="720" w:hanging="720"/>
      </w:pPr>
      <w:rPr>
        <w:rFonts w:hint="default"/>
      </w:rPr>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B42809"/>
    <w:multiLevelType w:val="multilevel"/>
    <w:tmpl w:val="2BBC500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ECD3FA6"/>
    <w:multiLevelType w:val="hybridMultilevel"/>
    <w:tmpl w:val="447E1E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B20184"/>
    <w:multiLevelType w:val="multilevel"/>
    <w:tmpl w:val="364A041C"/>
    <w:lvl w:ilvl="0">
      <w:start w:val="2"/>
      <w:numFmt w:val="decimal"/>
      <w:lvlText w:val="%1."/>
      <w:lvlJc w:val="left"/>
      <w:pPr>
        <w:tabs>
          <w:tab w:val="num" w:pos="720"/>
        </w:tabs>
        <w:ind w:left="720" w:hanging="360"/>
      </w:pPr>
      <w:rPr>
        <w:rFonts w:hint="default"/>
      </w:rPr>
    </w:lvl>
    <w:lvl w:ilvl="1">
      <w:start w:val="1"/>
      <w:numFmt w:val="decimal"/>
      <w:suff w:val="nothing"/>
      <w:lvlText w:val="2.%2"/>
      <w:lvlJc w:val="left"/>
      <w:pPr>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9361083"/>
    <w:multiLevelType w:val="hybridMultilevel"/>
    <w:tmpl w:val="5A303D82"/>
    <w:lvl w:ilvl="0" w:tplc="0DE42FD8">
      <w:start w:val="1"/>
      <w:numFmt w:val="decimal"/>
      <w:suff w:val="nothing"/>
      <w:lvlText w:val="2.%1"/>
      <w:lvlJc w:val="left"/>
      <w:pPr>
        <w:ind w:left="964"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D707FC1"/>
    <w:multiLevelType w:val="hybridMultilevel"/>
    <w:tmpl w:val="E846A5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1"/>
  </w:num>
  <w:num w:numId="4">
    <w:abstractNumId w:val="4"/>
  </w:num>
  <w:num w:numId="5">
    <w:abstractNumId w:val="17"/>
  </w:num>
  <w:num w:numId="6">
    <w:abstractNumId w:val="12"/>
  </w:num>
  <w:num w:numId="7">
    <w:abstractNumId w:val="14"/>
  </w:num>
  <w:num w:numId="8">
    <w:abstractNumId w:val="7"/>
  </w:num>
  <w:num w:numId="9">
    <w:abstractNumId w:val="3"/>
  </w:num>
  <w:num w:numId="10">
    <w:abstractNumId w:val="13"/>
  </w:num>
  <w:num w:numId="11">
    <w:abstractNumId w:val="2"/>
  </w:num>
  <w:num w:numId="12">
    <w:abstractNumId w:val="5"/>
  </w:num>
  <w:num w:numId="13">
    <w:abstractNumId w:val="10"/>
  </w:num>
  <w:num w:numId="14">
    <w:abstractNumId w:val="20"/>
  </w:num>
  <w:num w:numId="15">
    <w:abstractNumId w:val="22"/>
  </w:num>
  <w:num w:numId="16">
    <w:abstractNumId w:val="16"/>
  </w:num>
  <w:num w:numId="17">
    <w:abstractNumId w:val="18"/>
  </w:num>
  <w:num w:numId="18">
    <w:abstractNumId w:val="23"/>
  </w:num>
  <w:num w:numId="19">
    <w:abstractNumId w:val="6"/>
  </w:num>
  <w:num w:numId="20">
    <w:abstractNumId w:val="8"/>
  </w:num>
  <w:num w:numId="21">
    <w:abstractNumId w:val="9"/>
  </w:num>
  <w:num w:numId="22">
    <w:abstractNumId w:val="1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CA"/>
    <w:rsid w:val="0000569B"/>
    <w:rsid w:val="000617A0"/>
    <w:rsid w:val="00102226"/>
    <w:rsid w:val="00170548"/>
    <w:rsid w:val="00297D32"/>
    <w:rsid w:val="00334F1F"/>
    <w:rsid w:val="004354CA"/>
    <w:rsid w:val="004533F2"/>
    <w:rsid w:val="00457801"/>
    <w:rsid w:val="004917CB"/>
    <w:rsid w:val="004D2003"/>
    <w:rsid w:val="00610A12"/>
    <w:rsid w:val="00632F53"/>
    <w:rsid w:val="0068008B"/>
    <w:rsid w:val="008E38C0"/>
    <w:rsid w:val="008F62D5"/>
    <w:rsid w:val="00A3455C"/>
    <w:rsid w:val="00A42C00"/>
    <w:rsid w:val="00AD6753"/>
    <w:rsid w:val="00AE3C75"/>
    <w:rsid w:val="00C348EA"/>
    <w:rsid w:val="00E90DDB"/>
    <w:rsid w:val="00F870FC"/>
    <w:rsid w:val="00FF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B33024-0A72-4793-AAA3-7E37CCCA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rsid w:val="004354CA"/>
    <w:pPr>
      <w:tabs>
        <w:tab w:val="center" w:pos="4320"/>
        <w:tab w:val="right" w:pos="8640"/>
      </w:tabs>
    </w:pPr>
  </w:style>
  <w:style w:type="character" w:customStyle="1" w:styleId="HeaderChar">
    <w:name w:val="Header Char"/>
    <w:basedOn w:val="DefaultParagraphFont"/>
    <w:link w:val="Header"/>
    <w:uiPriority w:val="99"/>
    <w:semiHidden/>
    <w:rPr>
      <w:rFonts w:ascii="Tahoma" w:hAnsi="Tahoma" w:cs="Tahoma"/>
      <w:sz w:val="24"/>
      <w:szCs w:val="24"/>
    </w:rPr>
  </w:style>
  <w:style w:type="paragraph" w:styleId="Footer">
    <w:name w:val="footer"/>
    <w:basedOn w:val="Normal"/>
    <w:link w:val="FooterChar"/>
    <w:uiPriority w:val="99"/>
    <w:rsid w:val="004354CA"/>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24"/>
      <w:szCs w:val="24"/>
    </w:rPr>
  </w:style>
  <w:style w:type="character" w:styleId="PageNumber">
    <w:name w:val="page number"/>
    <w:basedOn w:val="DefaultParagraphFont"/>
    <w:uiPriority w:val="99"/>
    <w:rsid w:val="0043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QUY TAC</vt:lpstr>
    </vt:vector>
  </TitlesOfParts>
  <Company>aaa</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TAC</dc:title>
  <dc:subject/>
  <dc:creator>PHH</dc:creator>
  <cp:keywords/>
  <dc:description/>
  <cp:lastModifiedBy>Tri, Chau Vo Trong - GD Phong TSKT</cp:lastModifiedBy>
  <cp:revision>3</cp:revision>
  <dcterms:created xsi:type="dcterms:W3CDTF">2018-05-29T01:35:00Z</dcterms:created>
  <dcterms:modified xsi:type="dcterms:W3CDTF">2018-05-29T01:42:00Z</dcterms:modified>
</cp:coreProperties>
</file>