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6"/>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6" w:type="dxa"/>
            <w:tcBorders>
              <w:tl2br w:val="nil"/>
              <w:tr2bl w:val="nil"/>
            </w:tcBorders>
            <w:vAlign w:val="center"/>
          </w:tcPr>
          <w:p>
            <w:pPr>
              <w:widowControl w:val="0"/>
              <w:jc w:val="both"/>
              <w:rPr>
                <w:rFonts w:hint="default" w:ascii="Times New Roman" w:hAnsi="Times New Roman" w:eastAsia="SimSun" w:cs="Times New Roman"/>
                <w:sz w:val="24"/>
                <w:szCs w:val="24"/>
                <w:vertAlign w:val="baseline"/>
                <w:lang w:val="vi-VN"/>
              </w:rPr>
            </w:pPr>
            <w:r>
              <w:rPr>
                <w:rFonts w:hint="default" w:ascii="Times New Roman" w:hAnsi="Times New Roman" w:eastAsia="SimSun" w:cs="Times New Roman"/>
                <w:sz w:val="24"/>
                <w:szCs w:val="24"/>
                <w:vertAlign w:val="baseline"/>
                <w:lang w:val="vi-VN"/>
              </w:rPr>
              <w:drawing>
                <wp:inline distT="0" distB="0" distL="114300" distR="114300">
                  <wp:extent cx="353695" cy="295910"/>
                  <wp:effectExtent l="0" t="0" r="0" b="0"/>
                  <wp:docPr id="3" name="Picture 3" descr="Log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TO"/>
                          <pic:cNvPicPr>
                            <a:picLocks noChangeAspect="1"/>
                          </pic:cNvPicPr>
                        </pic:nvPicPr>
                        <pic:blipFill>
                          <a:blip r:embed="rId4"/>
                          <a:stretch>
                            <a:fillRect/>
                          </a:stretch>
                        </pic:blipFill>
                        <pic:spPr>
                          <a:xfrm>
                            <a:off x="0" y="0"/>
                            <a:ext cx="353695" cy="295910"/>
                          </a:xfrm>
                          <a:prstGeom prst="rect">
                            <a:avLst/>
                          </a:prstGeom>
                        </pic:spPr>
                      </pic:pic>
                    </a:graphicData>
                  </a:graphic>
                </wp:inline>
              </w:drawing>
            </w:r>
            <w:r>
              <w:rPr>
                <w:rFonts w:hint="default" w:ascii="Times New Roman" w:hAnsi="Times New Roman" w:eastAsia="SimSun" w:cs="Times New Roman"/>
                <w:sz w:val="24"/>
                <w:szCs w:val="24"/>
                <w:vertAlign w:val="baseline"/>
                <w:lang w:val="vi-VN"/>
              </w:rPr>
              <w:drawing>
                <wp:inline distT="0" distB="0" distL="114300" distR="114300">
                  <wp:extent cx="814705" cy="288925"/>
                  <wp:effectExtent l="0" t="0" r="8255" b="635"/>
                  <wp:docPr id="2" name="Picture 2" descr="tanthanhonline dot com 500x127 blac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nthanhonline dot com 500x127 black color"/>
                          <pic:cNvPicPr>
                            <a:picLocks noChangeAspect="1"/>
                          </pic:cNvPicPr>
                        </pic:nvPicPr>
                        <pic:blipFill>
                          <a:blip r:embed="rId5"/>
                          <a:stretch>
                            <a:fillRect/>
                          </a:stretch>
                        </pic:blipFill>
                        <pic:spPr>
                          <a:xfrm>
                            <a:off x="0" y="0"/>
                            <a:ext cx="814705" cy="288925"/>
                          </a:xfrm>
                          <a:prstGeom prst="rect">
                            <a:avLst/>
                          </a:prstGeom>
                        </pic:spPr>
                      </pic:pic>
                    </a:graphicData>
                  </a:graphic>
                </wp:inline>
              </w:drawing>
            </w:r>
          </w:p>
        </w:tc>
        <w:tc>
          <w:tcPr>
            <w:tcW w:w="5356" w:type="dxa"/>
            <w:tcBorders>
              <w:tl2br w:val="nil"/>
              <w:tr2bl w:val="nil"/>
            </w:tcBorders>
          </w:tcPr>
          <w:p>
            <w:pPr>
              <w:widowControl w:val="0"/>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CỘNG HÒA XÃ HỘI CHỦ NGHĨA VIỆT NAM</w:t>
            </w:r>
          </w:p>
          <w:p>
            <w:pPr>
              <w:widowControl w:val="0"/>
              <w:jc w:val="center"/>
              <w:rPr>
                <w:rFonts w:hint="default" w:ascii="Times New Roman" w:hAnsi="Times New Roman" w:eastAsia="SimSun" w:cs="Times New Roman"/>
                <w:sz w:val="24"/>
                <w:szCs w:val="24"/>
                <w:vertAlign w:val="baseline"/>
              </w:rPr>
            </w:pPr>
            <w:r>
              <w:rPr>
                <w:rFonts w:hint="default" w:ascii="Times New Roman" w:hAnsi="Times New Roman" w:eastAsia="SimSun" w:cs="Times New Roman"/>
                <w:sz w:val="24"/>
                <w:szCs w:val="24"/>
              </w:rPr>
              <w:t>Độc lập - Tự do - Hạnh phúc </w:t>
            </w:r>
          </w:p>
        </w:tc>
      </w:tr>
    </w:tbl>
    <w:p>
      <w:pPr>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rPr>
          <w:rFonts w:hint="default" w:ascii="Times New Roman" w:hAnsi="Times New Roman" w:eastAsia="SimSun" w:cs="Times New Roman"/>
          <w:sz w:val="24"/>
          <w:szCs w:val="24"/>
        </w:rPr>
      </w:pPr>
    </w:p>
    <w:p>
      <w:pPr>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TP. Hồ Chí Minh, ngày </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tháng </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năm </w:t>
      </w:r>
    </w:p>
    <w:p>
      <w:pPr>
        <w:jc w:val="center"/>
        <w:rPr>
          <w:rFonts w:hint="default" w:ascii="Times New Roman" w:hAnsi="Times New Roman" w:eastAsia="SimSun" w:cs="Times New Roman"/>
          <w:b/>
          <w:bCs/>
          <w:sz w:val="24"/>
          <w:szCs w:val="24"/>
        </w:rPr>
      </w:pPr>
    </w:p>
    <w:p>
      <w:pPr>
        <w:jc w:val="cente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THỎA THUẬN ĐẠO ĐỨC KINH DOANH</w:t>
      </w:r>
    </w:p>
    <w:p>
      <w:pPr>
        <w:rPr>
          <w:rFonts w:hint="default" w:ascii="Times New Roman" w:hAnsi="Times New Roman" w:eastAsia="SimSun" w:cs="Times New Roman"/>
          <w:sz w:val="24"/>
          <w:szCs w:val="24"/>
        </w:rPr>
      </w:pP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u w:val="single"/>
        </w:rPr>
        <w:t>Kính gởi</w:t>
      </w:r>
      <w:r>
        <w:rPr>
          <w:rFonts w:hint="default" w:ascii="Times New Roman" w:hAnsi="Times New Roman" w:eastAsia="SimSun" w:cs="Times New Roman"/>
          <w:sz w:val="24"/>
          <w:szCs w:val="24"/>
        </w:rPr>
        <w:t xml:space="preserve">: Quý đối tác, </w:t>
      </w:r>
    </w:p>
    <w:p>
      <w:pPr>
        <w:rPr>
          <w:rFonts w:hint="default" w:ascii="Times New Roman" w:hAnsi="Times New Roman" w:eastAsia="SimSun" w:cs="Times New Roman"/>
          <w:sz w:val="24"/>
          <w:szCs w:val="24"/>
        </w:rPr>
      </w:pP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Nhằm đảm bảo môi trường kinh doanh trong sạch, Công ty </w:t>
      </w:r>
      <w:r>
        <w:rPr>
          <w:rFonts w:hint="default" w:ascii="Times New Roman" w:hAnsi="Times New Roman" w:eastAsia="SimSun" w:cs="Times New Roman"/>
          <w:sz w:val="24"/>
          <w:szCs w:val="24"/>
          <w:lang w:val="en-US"/>
        </w:rPr>
        <w:t>TNHH Âu Hy</w:t>
      </w:r>
      <w:r>
        <w:rPr>
          <w:rFonts w:hint="default" w:ascii="Times New Roman" w:hAnsi="Times New Roman" w:eastAsia="SimSun" w:cs="Times New Roman"/>
          <w:sz w:val="24"/>
          <w:szCs w:val="24"/>
        </w:rPr>
        <w:t xml:space="preserve"> kính gởi Quý đối tác thỏa thuận Đạo Đức Kinh Doanh trong quá trình hợp tác với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như sau: </w:t>
      </w:r>
    </w:p>
    <w:p>
      <w:pPr>
        <w:rPr>
          <w:rFonts w:hint="default" w:ascii="Times New Roman" w:hAnsi="Times New Roman" w:eastAsia="SimSun" w:cs="Times New Roman"/>
          <w:sz w:val="24"/>
          <w:szCs w:val="24"/>
        </w:rPr>
      </w:pPr>
    </w:p>
    <w:p>
      <w:pPr>
        <w:numPr>
          <w:ilvl w:val="0"/>
          <w:numId w:val="1"/>
        </w:num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Nhân viên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BỊ NGHIÊM CẤM nhận quà, nhận hoa hồng (bằng tiền hay hiện vật) hoặc bất kì lợi ích gì khác từ các Nhà cung cấp. </w:t>
      </w:r>
    </w:p>
    <w:p>
      <w:pPr>
        <w:numPr>
          <w:ilvl w:val="0"/>
          <w:numId w:val="0"/>
        </w:numPr>
        <w:rPr>
          <w:rFonts w:hint="default" w:ascii="Times New Roman" w:hAnsi="Times New Roman" w:cs="Times New Roman"/>
        </w:rPr>
      </w:pPr>
    </w:p>
    <w:p>
      <w:pPr>
        <w:numPr>
          <w:ilvl w:val="0"/>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Nhà cung cấp KHÔNG ĐƯỢC đề nghị, gợi ý tặng quà, trích hoa hồng (bằng tiền hay hiện vật) hoặc bất kì lợi ích gì khác cho riêng nhân viên của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w:t>
      </w:r>
    </w:p>
    <w:p>
      <w:pPr>
        <w:numPr>
          <w:ilvl w:val="0"/>
          <w:numId w:val="0"/>
        </w:numPr>
        <w:ind w:leftChars="0"/>
        <w:rPr>
          <w:rFonts w:hint="default" w:ascii="Times New Roman" w:hAnsi="Times New Roman" w:cs="Times New Roman"/>
        </w:rPr>
      </w:pPr>
    </w:p>
    <w:p>
      <w:pPr>
        <w:numPr>
          <w:ilvl w:val="0"/>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Nếu Nhà cung cấp nhận được đề nghị, gợi ý tặng quà, trích hoa hồng (bằng tiền hay hiện vật) từ nhân viên của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xin vui lòng liên hệ ngay với chúng tôi qua địa chỉ email: </w:t>
      </w:r>
      <w:r>
        <w:rPr>
          <w:rFonts w:hint="default" w:ascii="Times New Roman" w:hAnsi="Times New Roman" w:eastAsia="SimSun" w:cs="Times New Roman"/>
          <w:sz w:val="24"/>
          <w:szCs w:val="24"/>
          <w:lang w:val="en-US"/>
        </w:rPr>
        <w:t>tanthanhonline.com@gmail.com</w:t>
      </w:r>
      <w:r>
        <w:rPr>
          <w:rFonts w:hint="default" w:ascii="Times New Roman" w:hAnsi="Times New Roman" w:eastAsia="SimSun" w:cs="Times New Roman"/>
          <w:sz w:val="24"/>
          <w:szCs w:val="24"/>
        </w:rPr>
        <w:t xml:space="preserve"> hoặc nhắn tin đến số điện thoại 0</w:t>
      </w:r>
      <w:r>
        <w:rPr>
          <w:rFonts w:hint="default" w:ascii="Times New Roman" w:hAnsi="Times New Roman" w:eastAsia="SimSun" w:cs="Times New Roman"/>
          <w:sz w:val="24"/>
          <w:szCs w:val="24"/>
          <w:lang w:val="en-US"/>
        </w:rPr>
        <w:t>763391399</w:t>
      </w:r>
      <w:r>
        <w:rPr>
          <w:rFonts w:hint="default" w:ascii="Times New Roman" w:hAnsi="Times New Roman" w:eastAsia="SimSun" w:cs="Times New Roman"/>
          <w:sz w:val="24"/>
          <w:szCs w:val="24"/>
        </w:rPr>
        <w:t xml:space="preserve"> với nội dung như sau: tên nhân viên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yêu cầu và tên nhà cung cấp. Chúng tôi cam kết sẽ liên hệ với Nhà cung cấp trong vòng 3 ngày để điều tra và XỬ LÝ ĐẾN NƠI ĐẾN CHỐN nhân viên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vi phạm và thông báo kết quả xử lý cho Nhà cung cấp.</w:t>
      </w: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Nếu chúng tôi phát hiện Nhà cung cấp tặng quà, trích hoa hồng (bằng tiền hay hiện vật) hoặc cho bất kì lợi ích gì khác cho riêng nhân viên của </w:t>
      </w:r>
      <w:r>
        <w:rPr>
          <w:rFonts w:hint="default" w:ascii="Times New Roman" w:hAnsi="Times New Roman" w:eastAsia="SimSun" w:cs="Times New Roman"/>
          <w:sz w:val="24"/>
          <w:szCs w:val="24"/>
          <w:lang w:val="en-US"/>
        </w:rPr>
        <w:t>Tân Thành Online</w:t>
      </w:r>
      <w:r>
        <w:rPr>
          <w:rFonts w:hint="default" w:ascii="Times New Roman" w:hAnsi="Times New Roman" w:eastAsia="SimSun" w:cs="Times New Roman"/>
          <w:sz w:val="24"/>
          <w:szCs w:val="24"/>
        </w:rPr>
        <w:t xml:space="preserve"> mà không có sự đồng ý bằng văn bản của công ty chúng tôi, chúng tôi sẽ chấm dứt hợp đồng với Nhà cung cấp và không thanh toán công nợ chưa thanh toán. Khoản nợ chưa thanh toán này là khoản phạt do việc vi phạm thỏa thuận này.</w:t>
      </w:r>
    </w:p>
    <w:p>
      <w:pPr>
        <w:numPr>
          <w:ilvl w:val="0"/>
          <w:numId w:val="0"/>
        </w:numPr>
        <w:ind w:leftChars="0"/>
        <w:rPr>
          <w:rFonts w:hint="default" w:ascii="Times New Roman" w:hAnsi="Times New Roman" w:eastAsia="SimSun" w:cs="Times New Roman"/>
          <w:sz w:val="24"/>
          <w:szCs w:val="24"/>
        </w:rPr>
      </w:pPr>
    </w:p>
    <w:p>
      <w:pPr>
        <w:numPr>
          <w:ilvl w:val="0"/>
          <w:numId w:val="0"/>
        </w:numPr>
        <w:ind w:leftChars="0" w:firstLine="420" w:firstLineChars="0"/>
        <w:rPr>
          <w:rFonts w:hint="default" w:ascii="Times New Roman" w:hAnsi="Times New Roman" w:eastAsia="SimSun" w:cs="Times New Roman"/>
          <w:b/>
          <w:bCs/>
          <w:sz w:val="20"/>
          <w:szCs w:val="20"/>
        </w:rPr>
      </w:pPr>
      <w:r>
        <w:rPr>
          <w:rFonts w:hint="default" w:ascii="Times New Roman" w:hAnsi="Times New Roman" w:eastAsia="SimSun" w:cs="Times New Roman"/>
          <w:b/>
          <w:bCs/>
          <w:sz w:val="20"/>
          <w:szCs w:val="20"/>
        </w:rPr>
        <w:t xml:space="preserve">Giám đốc </w:t>
      </w:r>
      <w:r>
        <w:rPr>
          <w:rFonts w:hint="default" w:ascii="Times New Roman" w:hAnsi="Times New Roman" w:eastAsia="SimSun" w:cs="Times New Roman"/>
          <w:b/>
          <w:bCs/>
          <w:sz w:val="20"/>
          <w:szCs w:val="20"/>
          <w:lang w:val="en-US"/>
        </w:rPr>
        <w:t>công ty</w:t>
      </w:r>
      <w:r>
        <w:rPr>
          <w:rFonts w:hint="default" w:ascii="Times New Roman" w:hAnsi="Times New Roman" w:eastAsia="SimSun" w:cs="Times New Roman"/>
          <w:sz w:val="20"/>
          <w:szCs w:val="20"/>
          <w:lang w:val="vi-VN"/>
        </w:rPr>
        <w:tab/>
      </w:r>
      <w:r>
        <w:rPr>
          <w:rFonts w:hint="default" w:ascii="Times New Roman" w:hAnsi="Times New Roman" w:eastAsia="SimSun" w:cs="Times New Roman"/>
          <w:sz w:val="20"/>
          <w:szCs w:val="20"/>
          <w:lang w:val="vi-VN"/>
        </w:rPr>
        <w:tab/>
      </w:r>
      <w:r>
        <w:rPr>
          <w:rFonts w:hint="default" w:ascii="Times New Roman" w:hAnsi="Times New Roman" w:eastAsia="SimSun" w:cs="Times New Roman"/>
          <w:sz w:val="20"/>
          <w:szCs w:val="20"/>
          <w:lang w:val="vi-VN"/>
        </w:rPr>
        <w:tab/>
      </w:r>
      <w:r>
        <w:rPr>
          <w:rFonts w:hint="default" w:ascii="Times New Roman" w:hAnsi="Times New Roman" w:eastAsia="SimSun" w:cs="Times New Roman"/>
          <w:sz w:val="20"/>
          <w:szCs w:val="20"/>
          <w:lang w:val="vi-VN"/>
        </w:rPr>
        <w:tab/>
      </w:r>
      <w:r>
        <w:rPr>
          <w:rFonts w:hint="default" w:ascii="Times New Roman" w:hAnsi="Times New Roman" w:eastAsia="SimSun" w:cs="Times New Roman"/>
          <w:sz w:val="20"/>
          <w:szCs w:val="20"/>
          <w:lang w:val="vi-VN"/>
        </w:rPr>
        <w:tab/>
      </w:r>
      <w:r>
        <w:rPr>
          <w:rFonts w:hint="default" w:ascii="Times New Roman" w:hAnsi="Times New Roman" w:eastAsia="SimSun" w:cs="Times New Roman"/>
          <w:b/>
          <w:bCs/>
          <w:sz w:val="20"/>
          <w:szCs w:val="20"/>
        </w:rPr>
        <w:t>Nhà cung cấp xác nhận đã đọc kỹ và đồng ý với thỏa thuận này</w:t>
      </w:r>
    </w:p>
    <w:p>
      <w:pPr>
        <w:numPr>
          <w:ilvl w:val="0"/>
          <w:numId w:val="0"/>
        </w:numPr>
        <w:ind w:left="4200" w:leftChars="0" w:firstLine="420" w:firstLineChars="0"/>
        <w:rPr>
          <w:rFonts w:hint="default" w:ascii="Times New Roman" w:hAnsi="Times New Roman" w:eastAsia="SimSun" w:cs="Times New Roman"/>
          <w:b w:val="0"/>
          <w:bCs w:val="0"/>
          <w:sz w:val="20"/>
          <w:szCs w:val="20"/>
          <w:lang w:val="en-US"/>
        </w:rPr>
      </w:pPr>
      <w:r>
        <w:rPr>
          <w:rFonts w:hint="default" w:ascii="Times New Roman" w:hAnsi="Times New Roman" w:eastAsia="SimSun" w:cs="Times New Roman"/>
          <w:b/>
          <w:bCs/>
          <w:sz w:val="20"/>
          <w:szCs w:val="20"/>
          <w:lang w:val="en-US"/>
        </w:rPr>
        <w:t xml:space="preserve"> </w:t>
      </w:r>
      <w:r>
        <w:rPr>
          <w:rFonts w:hint="default" w:ascii="Times New Roman" w:hAnsi="Times New Roman" w:eastAsia="SimSun" w:cs="Times New Roman"/>
          <w:b/>
          <w:bCs/>
          <w:sz w:val="20"/>
          <w:szCs w:val="20"/>
          <w:lang w:val="en-US"/>
        </w:rPr>
        <w:tab/>
        <w:t/>
      </w:r>
      <w:r>
        <w:rPr>
          <w:rFonts w:hint="default" w:ascii="Times New Roman" w:hAnsi="Times New Roman" w:eastAsia="SimSun" w:cs="Times New Roman"/>
          <w:b/>
          <w:bCs/>
          <w:sz w:val="20"/>
          <w:szCs w:val="20"/>
          <w:lang w:val="en-US"/>
        </w:rPr>
        <w:tab/>
      </w:r>
      <w:r>
        <w:rPr>
          <w:rFonts w:hint="default" w:ascii="Times New Roman" w:hAnsi="Times New Roman" w:eastAsia="SimSun" w:cs="Times New Roman"/>
          <w:b w:val="0"/>
          <w:bCs w:val="0"/>
          <w:sz w:val="20"/>
          <w:szCs w:val="20"/>
          <w:lang w:val="en-US"/>
        </w:rPr>
        <w:tab/>
        <w:t>( ký tên, đóng dấu )</w:t>
      </w: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p>
    <w:p>
      <w:pPr>
        <w:numPr>
          <w:ilvl w:val="0"/>
          <w:numId w:val="0"/>
        </w:numPr>
        <w:ind w:leftChars="0"/>
        <w:rPr>
          <w:rFonts w:hint="default" w:ascii="Times New Roman" w:hAnsi="Times New Roman" w:eastAsia="SimSun" w:cs="Times New Roman"/>
          <w:sz w:val="24"/>
          <w:szCs w:val="24"/>
        </w:rPr>
      </w:pPr>
    </w:p>
    <w:p>
      <w:pPr>
        <w:numPr>
          <w:ilvl w:val="0"/>
          <w:numId w:val="0"/>
        </w:numPr>
        <w:ind w:leftChars="0"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Trần Tuấn Thân</w:t>
      </w:r>
      <w:bookmarkStart w:id="0" w:name="_GoBack"/>
      <w:bookmarkEnd w:id="0"/>
    </w:p>
    <w:sectPr>
      <w:pgSz w:w="11906" w:h="16838"/>
      <w:pgMar w:top="1440" w:right="1080" w:bottom="1440" w:left="108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7195"/>
    <w:multiLevelType w:val="singleLevel"/>
    <w:tmpl w:val="2B16719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2D5E8E"/>
    <w:rsid w:val="5EE3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2020-11-20T16:51:00Z</dcterms:created>
  <dc:creator>ACER</dc:creator>
  <cp:lastModifiedBy>ACER</cp:lastModifiedBy>
  <dcterms:modified xsi:type="dcterms:W3CDTF">2020-11-23T06:41:19Z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