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jc w:val="center"/>
        <w:tblCellSpacing w:w="0" w:type="dxa"/>
        <w:tblInd w:w="-172" w:type="dxa"/>
        <w:tblCellMar>
          <w:left w:w="0" w:type="dxa"/>
          <w:right w:w="0" w:type="dxa"/>
        </w:tblCellMar>
        <w:tblLook w:val="04A0" w:firstRow="1" w:lastRow="0" w:firstColumn="1" w:lastColumn="0" w:noHBand="0" w:noVBand="1"/>
      </w:tblPr>
      <w:tblGrid>
        <w:gridCol w:w="9532"/>
      </w:tblGrid>
      <w:tr w:rsidR="00065EE3" w:rsidRPr="00065EE3" w:rsidTr="00A36C3E">
        <w:trPr>
          <w:tblCellSpacing w:w="0" w:type="dxa"/>
          <w:jc w:val="center"/>
        </w:trPr>
        <w:tc>
          <w:tcPr>
            <w:tcW w:w="9532"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9532"/>
            </w:tblGrid>
            <w:tr w:rsidR="00B53688" w:rsidRPr="00065EE3" w:rsidTr="00C616DE">
              <w:trPr>
                <w:tblCellSpacing w:w="0" w:type="dxa"/>
              </w:trPr>
              <w:tc>
                <w:tcPr>
                  <w:tcW w:w="0" w:type="auto"/>
                  <w:hideMark/>
                </w:tcPr>
                <w:tbl>
                  <w:tblPr>
                    <w:tblW w:w="9568" w:type="dxa"/>
                    <w:jc w:val="center"/>
                    <w:tblInd w:w="53" w:type="dxa"/>
                    <w:tblCellMar>
                      <w:left w:w="0" w:type="dxa"/>
                      <w:right w:w="0" w:type="dxa"/>
                    </w:tblCellMar>
                    <w:tblLook w:val="04A0" w:firstRow="1" w:lastRow="0" w:firstColumn="1" w:lastColumn="0" w:noHBand="0" w:noVBand="1"/>
                  </w:tblPr>
                  <w:tblGrid>
                    <w:gridCol w:w="2498"/>
                    <w:gridCol w:w="2038"/>
                    <w:gridCol w:w="5032"/>
                  </w:tblGrid>
                  <w:tr w:rsidR="00B53688" w:rsidRPr="00BF46C2" w:rsidTr="00AC3843">
                    <w:trPr>
                      <w:trHeight w:val="1113"/>
                      <w:jc w:val="center"/>
                    </w:trPr>
                    <w:tc>
                      <w:tcPr>
                        <w:tcW w:w="2498" w:type="dxa"/>
                        <w:tcBorders>
                          <w:top w:val="nil"/>
                          <w:left w:val="nil"/>
                          <w:bottom w:val="nil"/>
                          <w:right w:val="nil"/>
                        </w:tcBorders>
                        <w:shd w:val="clear" w:color="auto" w:fill="auto"/>
                        <w:tcMar>
                          <w:top w:w="0" w:type="dxa"/>
                          <w:left w:w="108" w:type="dxa"/>
                          <w:bottom w:w="0" w:type="dxa"/>
                          <w:right w:w="108" w:type="dxa"/>
                        </w:tcMar>
                      </w:tcPr>
                      <w:p w:rsidR="00B53688" w:rsidRPr="00BF46C2" w:rsidRDefault="00D96AD7" w:rsidP="00AC3843">
                        <w:pPr>
                          <w:spacing w:after="0" w:line="240" w:lineRule="auto"/>
                          <w:ind w:firstLine="260"/>
                          <w:rPr>
                            <w:noProof/>
                          </w:rPr>
                        </w:pPr>
                        <w:r>
                          <w:rPr>
                            <w:noProof/>
                          </w:rPr>
                          <w:drawing>
                            <wp:inline distT="0" distB="0" distL="0" distR="0">
                              <wp:extent cx="1089660" cy="944880"/>
                              <wp:effectExtent l="0" t="0" r="0" b="7620"/>
                              <wp:docPr id="1" name="Picture 1" descr="n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660" cy="944880"/>
                                      </a:xfrm>
                                      <a:prstGeom prst="rect">
                                        <a:avLst/>
                                      </a:prstGeom>
                                      <a:noFill/>
                                      <a:ln>
                                        <a:noFill/>
                                      </a:ln>
                                    </pic:spPr>
                                  </pic:pic>
                                </a:graphicData>
                              </a:graphic>
                            </wp:inline>
                          </w:drawing>
                        </w:r>
                      </w:p>
                      <w:p w:rsidR="00B53688" w:rsidRPr="00BF46C2" w:rsidRDefault="00B53688" w:rsidP="00AC3843">
                        <w:pPr>
                          <w:spacing w:after="0" w:line="240" w:lineRule="auto"/>
                          <w:ind w:firstLine="260"/>
                          <w:rPr>
                            <w:rFonts w:ascii=".VnTime" w:hAnsi=".VnTime"/>
                            <w:sz w:val="20"/>
                            <w:szCs w:val="20"/>
                          </w:rPr>
                        </w:pPr>
                      </w:p>
                      <w:p w:rsidR="00B53688" w:rsidRPr="00BF46C2" w:rsidRDefault="00B53688" w:rsidP="00AC3843">
                        <w:pPr>
                          <w:spacing w:after="0" w:line="240" w:lineRule="auto"/>
                          <w:ind w:firstLine="260"/>
                          <w:rPr>
                            <w:rFonts w:ascii=".VnTime" w:hAnsi=".VnTime"/>
                            <w:sz w:val="20"/>
                            <w:szCs w:val="20"/>
                          </w:rPr>
                        </w:pPr>
                      </w:p>
                    </w:tc>
                    <w:tc>
                      <w:tcPr>
                        <w:tcW w:w="2038" w:type="dxa"/>
                        <w:tcBorders>
                          <w:top w:val="nil"/>
                          <w:left w:val="nil"/>
                          <w:bottom w:val="nil"/>
                          <w:right w:val="nil"/>
                        </w:tcBorders>
                        <w:shd w:val="clear" w:color="auto" w:fill="auto"/>
                      </w:tcPr>
                      <w:p w:rsidR="00B53688" w:rsidRPr="00D96AD7" w:rsidRDefault="00B53688" w:rsidP="00AC3843">
                        <w:pPr>
                          <w:spacing w:after="0" w:line="240" w:lineRule="auto"/>
                          <w:rPr>
                            <w:rFonts w:ascii="Times New Roman" w:hAnsi="Times New Roman" w:cs="Times New Roman"/>
                            <w:sz w:val="20"/>
                            <w:szCs w:val="20"/>
                          </w:rPr>
                        </w:pPr>
                      </w:p>
                    </w:tc>
                    <w:tc>
                      <w:tcPr>
                        <w:tcW w:w="5032" w:type="dxa"/>
                        <w:tcBorders>
                          <w:top w:val="nil"/>
                          <w:left w:val="nil"/>
                          <w:bottom w:val="nil"/>
                          <w:right w:val="nil"/>
                        </w:tcBorders>
                        <w:shd w:val="clear" w:color="auto" w:fill="auto"/>
                      </w:tcPr>
                      <w:p w:rsidR="00B53688" w:rsidRPr="00D96AD7" w:rsidRDefault="00B53688" w:rsidP="00AC3843">
                        <w:pPr>
                          <w:spacing w:after="0"/>
                          <w:rPr>
                            <w:rFonts w:ascii=".VnArial" w:hAnsi=".VnArial" w:cs="Times New Roman"/>
                            <w:b/>
                          </w:rPr>
                        </w:pPr>
                        <w:r w:rsidRPr="00D96AD7">
                          <w:rPr>
                            <w:rFonts w:ascii=".VnArial" w:hAnsi=".VnArial" w:cs="Times New Roman"/>
                            <w:b/>
                          </w:rPr>
                          <w:t>C«ng ty cæ phÇn dÞch vô h¹ tÇng m¹ng</w:t>
                        </w:r>
                      </w:p>
                      <w:p w:rsidR="00B53688" w:rsidRPr="00D96AD7" w:rsidRDefault="00B53688" w:rsidP="00AC3843">
                        <w:pPr>
                          <w:spacing w:after="0"/>
                          <w:rPr>
                            <w:rFonts w:ascii="Times New Roman" w:hAnsi="Times New Roman" w:cs="Times New Roman"/>
                            <w:b/>
                          </w:rPr>
                        </w:pPr>
                        <w:r w:rsidRPr="00D96AD7">
                          <w:rPr>
                            <w:rFonts w:ascii="Times New Roman" w:hAnsi="Times New Roman" w:cs="Times New Roman"/>
                            <w:sz w:val="24"/>
                            <w:szCs w:val="24"/>
                          </w:rPr>
                          <w:t>Địa chỉ: Tầng 11, tòa nhà Kim Khí Thăng Long, số 1, Lương Yên, p. Bạch Đằng, q. Hai Bà Trưng, Hà Nội</w:t>
                        </w:r>
                      </w:p>
                      <w:p w:rsidR="00B53688" w:rsidRPr="00D96AD7" w:rsidRDefault="00B53688" w:rsidP="00AC3843">
                        <w:pPr>
                          <w:spacing w:after="0"/>
                          <w:rPr>
                            <w:rFonts w:ascii="Times New Roman" w:hAnsi="Times New Roman" w:cs="Times New Roman"/>
                            <w:sz w:val="20"/>
                            <w:szCs w:val="20"/>
                          </w:rPr>
                        </w:pPr>
                        <w:r w:rsidRPr="00D96AD7">
                          <w:rPr>
                            <w:rFonts w:ascii="Times New Roman" w:hAnsi="Times New Roman" w:cs="Times New Roman"/>
                            <w:sz w:val="24"/>
                            <w:szCs w:val="24"/>
                          </w:rPr>
                          <w:t xml:space="preserve">Điện thoại: 04.37854291        </w:t>
                        </w:r>
                        <w:r w:rsidRPr="00D96AD7">
                          <w:rPr>
                            <w:rFonts w:ascii="Times New Roman" w:hAnsi="Times New Roman" w:cs="Times New Roman"/>
                            <w:sz w:val="24"/>
                            <w:szCs w:val="24"/>
                          </w:rPr>
                          <w:tab/>
                          <w:t xml:space="preserve"> Fax: 04.37854265</w:t>
                        </w:r>
                      </w:p>
                    </w:tc>
                  </w:tr>
                  <w:tr w:rsidR="00B53688" w:rsidRPr="00BF46C2" w:rsidTr="00AC3843">
                    <w:trPr>
                      <w:trHeight w:val="97"/>
                      <w:jc w:val="center"/>
                    </w:trPr>
                    <w:tc>
                      <w:tcPr>
                        <w:tcW w:w="2498" w:type="dxa"/>
                        <w:tcBorders>
                          <w:top w:val="nil"/>
                          <w:left w:val="nil"/>
                          <w:right w:val="nil"/>
                        </w:tcBorders>
                        <w:shd w:val="clear" w:color="auto" w:fill="auto"/>
                        <w:tcMar>
                          <w:top w:w="0" w:type="dxa"/>
                          <w:left w:w="108" w:type="dxa"/>
                          <w:bottom w:w="0" w:type="dxa"/>
                          <w:right w:w="108" w:type="dxa"/>
                        </w:tcMar>
                      </w:tcPr>
                      <w:p w:rsidR="00B53688" w:rsidRPr="00BF46C2" w:rsidRDefault="00B53688" w:rsidP="00AC3843">
                        <w:pPr>
                          <w:spacing w:after="0" w:line="240" w:lineRule="auto"/>
                          <w:ind w:firstLine="260"/>
                          <w:rPr>
                            <w:noProof/>
                          </w:rPr>
                        </w:pPr>
                      </w:p>
                    </w:tc>
                    <w:tc>
                      <w:tcPr>
                        <w:tcW w:w="2038" w:type="dxa"/>
                        <w:tcBorders>
                          <w:top w:val="nil"/>
                          <w:left w:val="nil"/>
                          <w:right w:val="nil"/>
                        </w:tcBorders>
                        <w:shd w:val="clear" w:color="auto" w:fill="auto"/>
                      </w:tcPr>
                      <w:p w:rsidR="00B53688" w:rsidRPr="00BF46C2" w:rsidRDefault="00B53688" w:rsidP="00AC3843">
                        <w:pPr>
                          <w:spacing w:after="0" w:line="240" w:lineRule="auto"/>
                          <w:rPr>
                            <w:rFonts w:ascii=".VnTimeH" w:hAnsi=".VnTimeH"/>
                            <w:b/>
                          </w:rPr>
                        </w:pPr>
                      </w:p>
                    </w:tc>
                    <w:tc>
                      <w:tcPr>
                        <w:tcW w:w="5032" w:type="dxa"/>
                        <w:tcBorders>
                          <w:top w:val="nil"/>
                          <w:left w:val="nil"/>
                          <w:right w:val="nil"/>
                        </w:tcBorders>
                        <w:shd w:val="clear" w:color="auto" w:fill="auto"/>
                      </w:tcPr>
                      <w:p w:rsidR="00B53688" w:rsidRPr="00BF46C2" w:rsidRDefault="00B53688" w:rsidP="00AC3843">
                        <w:pPr>
                          <w:spacing w:after="0" w:line="240" w:lineRule="auto"/>
                          <w:rPr>
                            <w:rFonts w:ascii=".VnTimeH" w:hAnsi=".VnTimeH"/>
                            <w:sz w:val="20"/>
                            <w:szCs w:val="20"/>
                          </w:rPr>
                        </w:pPr>
                      </w:p>
                    </w:tc>
                  </w:tr>
                </w:tbl>
                <w:p w:rsidR="00B53688" w:rsidRPr="00BF46C2" w:rsidRDefault="00B53688" w:rsidP="00AC3843">
                  <w:pPr>
                    <w:tabs>
                      <w:tab w:val="left" w:pos="4285"/>
                      <w:tab w:val="right" w:pos="9922"/>
                    </w:tabs>
                    <w:spacing w:after="0"/>
                    <w:rPr>
                      <w:rFonts w:ascii="Times New Roman" w:hAnsi="Times New Roman"/>
                      <w:b/>
                      <w:sz w:val="32"/>
                      <w:szCs w:val="32"/>
                    </w:rPr>
                  </w:pPr>
                  <w:r w:rsidRPr="00BF46C2">
                    <w:rPr>
                      <w:rFonts w:ascii="Times New Roman" w:hAnsi="Times New Roman"/>
                      <w:b/>
                      <w:sz w:val="32"/>
                      <w:szCs w:val="32"/>
                    </w:rPr>
                    <w:t xml:space="preserve">                          </w:t>
                  </w:r>
                  <w:bookmarkStart w:id="0" w:name="_GoBack"/>
                  <w:bookmarkEnd w:id="0"/>
                  <w:r w:rsidRPr="00BF46C2">
                    <w:rPr>
                      <w:rFonts w:ascii="Times New Roman" w:hAnsi="Times New Roman"/>
                      <w:b/>
                      <w:sz w:val="32"/>
                      <w:szCs w:val="32"/>
                    </w:rPr>
                    <w:t xml:space="preserve">                  THÔNG BÁO MỜI HỌP</w:t>
                  </w:r>
                </w:p>
              </w:tc>
            </w:tr>
            <w:tr w:rsidR="00B53688" w:rsidRPr="00065EE3" w:rsidTr="00C616DE">
              <w:trPr>
                <w:trHeight w:val="45"/>
                <w:tblCellSpacing w:w="0" w:type="dxa"/>
              </w:trPr>
              <w:tc>
                <w:tcPr>
                  <w:tcW w:w="0" w:type="auto"/>
                  <w:tcMar>
                    <w:top w:w="0" w:type="dxa"/>
                    <w:left w:w="120" w:type="dxa"/>
                    <w:bottom w:w="0" w:type="dxa"/>
                    <w:right w:w="0" w:type="dxa"/>
                  </w:tcMar>
                  <w:hideMark/>
                </w:tcPr>
                <w:p w:rsidR="00B53688" w:rsidRPr="00BF46C2" w:rsidRDefault="00B53688" w:rsidP="00AC3843">
                  <w:pPr>
                    <w:spacing w:after="0"/>
                    <w:jc w:val="center"/>
                    <w:rPr>
                      <w:rFonts w:ascii="Times New Roman" w:hAnsi="Times New Roman"/>
                      <w:sz w:val="26"/>
                      <w:szCs w:val="26"/>
                    </w:rPr>
                  </w:pPr>
                  <w:r w:rsidRPr="00BF46C2">
                    <w:rPr>
                      <w:rFonts w:ascii="Times New Roman" w:hAnsi="Times New Roman"/>
                      <w:sz w:val="26"/>
                      <w:szCs w:val="26"/>
                    </w:rPr>
                    <w:t>ĐẠI HỘI ĐỒNG CỔ ĐÔNG THƯỜNG NIÊN NĂM 2015</w:t>
                  </w:r>
                </w:p>
              </w:tc>
            </w:tr>
          </w:tbl>
          <w:p w:rsidR="00065EE3" w:rsidRPr="00065EE3" w:rsidRDefault="00065EE3" w:rsidP="00065EE3">
            <w:pPr>
              <w:spacing w:after="0" w:line="240" w:lineRule="auto"/>
              <w:rPr>
                <w:rFonts w:ascii="Arial" w:eastAsia="Times New Roman" w:hAnsi="Arial" w:cs="Arial"/>
                <w:color w:val="000000"/>
                <w:sz w:val="18"/>
                <w:szCs w:val="18"/>
              </w:rPr>
            </w:pPr>
          </w:p>
        </w:tc>
      </w:tr>
      <w:tr w:rsidR="00065EE3" w:rsidRPr="00065EE3" w:rsidTr="00A36C3E">
        <w:trPr>
          <w:tblCellSpacing w:w="0" w:type="dxa"/>
          <w:jc w:val="center"/>
        </w:trPr>
        <w:tc>
          <w:tcPr>
            <w:tcW w:w="9532" w:type="dxa"/>
            <w:vAlign w:val="center"/>
            <w:hideMark/>
          </w:tcPr>
          <w:p w:rsidR="00065EE3" w:rsidRPr="00065EE3" w:rsidRDefault="00065EE3" w:rsidP="00065EE3">
            <w:pPr>
              <w:spacing w:after="0" w:line="240" w:lineRule="auto"/>
              <w:jc w:val="center"/>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28"/>
                <w:szCs w:val="28"/>
                <w:lang w:val="pt-BR"/>
              </w:rPr>
              <w:t>Kính gửi: </w:t>
            </w:r>
            <w:r w:rsidRPr="00065EE3">
              <w:rPr>
                <w:rFonts w:ascii="Times New Roman" w:eastAsia="Times New Roman" w:hAnsi="Times New Roman" w:cs="Times New Roman"/>
                <w:b/>
                <w:bCs/>
                <w:color w:val="000000"/>
                <w:sz w:val="28"/>
                <w:lang w:val="pt-BR"/>
              </w:rPr>
              <w:t> </w:t>
            </w:r>
            <w:r w:rsidRPr="00065EE3">
              <w:rPr>
                <w:rFonts w:ascii="Times New Roman" w:eastAsia="Times New Roman" w:hAnsi="Times New Roman" w:cs="Times New Roman"/>
                <w:b/>
                <w:bCs/>
                <w:color w:val="000000"/>
                <w:sz w:val="28"/>
                <w:szCs w:val="28"/>
                <w:lang w:val="pt-BR"/>
              </w:rPr>
              <w:t>Quý Cổ đông Công ty</w:t>
            </w:r>
          </w:p>
          <w:p w:rsidR="00065EE3" w:rsidRPr="00065EE3" w:rsidRDefault="00065EE3" w:rsidP="00065EE3">
            <w:pPr>
              <w:spacing w:after="0" w:line="240" w:lineRule="auto"/>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16"/>
                <w:szCs w:val="16"/>
              </w:rPr>
              <w:t> </w:t>
            </w:r>
          </w:p>
          <w:p w:rsidR="00065EE3" w:rsidRPr="00B53688" w:rsidRDefault="00065EE3" w:rsidP="00B53688">
            <w:pPr>
              <w:spacing w:after="0"/>
              <w:rPr>
                <w:rFonts w:ascii=".VnTimeH" w:hAnsi=".VnTimeH"/>
                <w:b/>
                <w:sz w:val="26"/>
                <w:szCs w:val="26"/>
              </w:rPr>
            </w:pPr>
            <w:r w:rsidRPr="00065EE3">
              <w:rPr>
                <w:rFonts w:ascii="Times New Roman" w:eastAsia="Times New Roman" w:hAnsi="Times New Roman" w:cs="Times New Roman"/>
                <w:color w:val="000000"/>
                <w:sz w:val="26"/>
                <w:szCs w:val="26"/>
              </w:rPr>
              <w:t xml:space="preserve">Công ty Cổ phần </w:t>
            </w:r>
            <w:r w:rsidR="00B53688">
              <w:rPr>
                <w:rFonts w:ascii="Times New Roman" w:eastAsia="Times New Roman" w:hAnsi="Times New Roman" w:cs="Times New Roman"/>
                <w:color w:val="000000"/>
                <w:sz w:val="26"/>
                <w:szCs w:val="26"/>
              </w:rPr>
              <w:t>Dịch vụ Hạ tầng mạng</w:t>
            </w:r>
            <w:r w:rsidRPr="00065EE3">
              <w:rPr>
                <w:rFonts w:ascii="Times New Roman" w:eastAsia="Times New Roman" w:hAnsi="Times New Roman" w:cs="Times New Roman"/>
                <w:color w:val="000000"/>
                <w:sz w:val="26"/>
                <w:szCs w:val="26"/>
              </w:rPr>
              <w:t xml:space="preserve"> (</w:t>
            </w:r>
            <w:r w:rsidR="00A36C3E">
              <w:rPr>
                <w:rFonts w:ascii="Times New Roman" w:eastAsia="Times New Roman" w:hAnsi="Times New Roman" w:cs="Times New Roman"/>
                <w:color w:val="000000"/>
                <w:sz w:val="26"/>
                <w:szCs w:val="26"/>
              </w:rPr>
              <w:t>địa chỉ giao dịch</w:t>
            </w:r>
            <w:r w:rsidRPr="00B53688">
              <w:rPr>
                <w:rFonts w:ascii="Times New Roman" w:eastAsia="Times New Roman" w:hAnsi="Times New Roman" w:cs="Times New Roman"/>
                <w:color w:val="000000"/>
                <w:sz w:val="26"/>
                <w:szCs w:val="26"/>
              </w:rPr>
              <w:t xml:space="preserve">: </w:t>
            </w:r>
            <w:r w:rsidR="00B53688" w:rsidRPr="00B53688">
              <w:rPr>
                <w:rFonts w:ascii="Times New Roman" w:hAnsi="Times New Roman"/>
                <w:sz w:val="26"/>
                <w:szCs w:val="26"/>
              </w:rPr>
              <w:t>Tầng 11, tòa nhà Kim Khí Thăng Long, số 1, Lương Yên, p. Bạch Đằng, q. Hai Bà Trưng, Hà Nội</w:t>
            </w:r>
            <w:r w:rsidRPr="00065EE3">
              <w:rPr>
                <w:rFonts w:ascii="Times New Roman" w:eastAsia="Times New Roman" w:hAnsi="Times New Roman" w:cs="Times New Roman"/>
                <w:color w:val="000000"/>
                <w:sz w:val="26"/>
                <w:szCs w:val="26"/>
              </w:rPr>
              <w:t>; Giấy chứng nhận ĐKKD số: 0101</w:t>
            </w:r>
            <w:r w:rsidR="00B53688">
              <w:rPr>
                <w:rFonts w:ascii="Times New Roman" w:eastAsia="Times New Roman" w:hAnsi="Times New Roman" w:cs="Times New Roman"/>
                <w:color w:val="000000"/>
                <w:sz w:val="26"/>
                <w:szCs w:val="26"/>
              </w:rPr>
              <w:t>985025</w:t>
            </w:r>
            <w:r w:rsidRPr="00065EE3">
              <w:rPr>
                <w:rFonts w:ascii="Times New Roman" w:eastAsia="Times New Roman" w:hAnsi="Times New Roman" w:cs="Times New Roman"/>
                <w:color w:val="000000"/>
                <w:sz w:val="26"/>
                <w:szCs w:val="26"/>
              </w:rPr>
              <w:t xml:space="preserve"> do Sở Kế hoạch và Đầu tư Hà Nội cấp thay đổi lần </w:t>
            </w:r>
            <w:r w:rsidR="00B53688">
              <w:rPr>
                <w:rFonts w:ascii="Times New Roman" w:eastAsia="Times New Roman" w:hAnsi="Times New Roman" w:cs="Times New Roman"/>
                <w:color w:val="000000"/>
                <w:sz w:val="26"/>
                <w:szCs w:val="26"/>
              </w:rPr>
              <w:t>7</w:t>
            </w:r>
            <w:r w:rsidRPr="00065EE3">
              <w:rPr>
                <w:rFonts w:ascii="Times New Roman" w:eastAsia="Times New Roman" w:hAnsi="Times New Roman" w:cs="Times New Roman"/>
                <w:color w:val="000000"/>
                <w:sz w:val="26"/>
                <w:szCs w:val="26"/>
              </w:rPr>
              <w:t xml:space="preserve"> ngày 11 tháng </w:t>
            </w:r>
            <w:r w:rsidR="00B53688">
              <w:rPr>
                <w:rFonts w:ascii="Times New Roman" w:eastAsia="Times New Roman" w:hAnsi="Times New Roman" w:cs="Times New Roman"/>
                <w:color w:val="000000"/>
                <w:sz w:val="26"/>
                <w:szCs w:val="26"/>
              </w:rPr>
              <w:t xml:space="preserve"> 6</w:t>
            </w:r>
            <w:r w:rsidRPr="00065EE3">
              <w:rPr>
                <w:rFonts w:ascii="Times New Roman" w:eastAsia="Times New Roman" w:hAnsi="Times New Roman" w:cs="Times New Roman"/>
                <w:color w:val="000000"/>
                <w:sz w:val="26"/>
                <w:szCs w:val="26"/>
              </w:rPr>
              <w:t xml:space="preserve"> năm 201</w:t>
            </w:r>
            <w:r w:rsidR="00B53688">
              <w:rPr>
                <w:rFonts w:ascii="Times New Roman" w:eastAsia="Times New Roman" w:hAnsi="Times New Roman" w:cs="Times New Roman"/>
                <w:color w:val="000000"/>
                <w:sz w:val="26"/>
                <w:szCs w:val="26"/>
              </w:rPr>
              <w:t>5</w:t>
            </w:r>
            <w:r w:rsidRPr="00065EE3">
              <w:rPr>
                <w:rFonts w:ascii="Times New Roman" w:eastAsia="Times New Roman" w:hAnsi="Times New Roman" w:cs="Times New Roman"/>
                <w:color w:val="000000"/>
                <w:sz w:val="26"/>
                <w:szCs w:val="26"/>
              </w:rPr>
              <w:t>) trân trọng thông báo và kính mời Quý cổ đông tham dự Đại hội đồng cổ đông (ĐHĐCĐ) thường niên năm 2015 của Công ty, cụ thể như sau: </w:t>
            </w:r>
          </w:p>
          <w:p w:rsidR="00065EE3" w:rsidRPr="00065EE3" w:rsidRDefault="00065EE3" w:rsidP="00065EE3">
            <w:pPr>
              <w:spacing w:after="0" w:line="198" w:lineRule="atLeast"/>
              <w:ind w:left="36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26"/>
                <w:szCs w:val="26"/>
              </w:rPr>
              <w:t>1.</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b/>
                <w:bCs/>
                <w:color w:val="000000"/>
                <w:sz w:val="26"/>
                <w:szCs w:val="26"/>
              </w:rPr>
              <w:t>Thời gian:</w:t>
            </w:r>
            <w:r w:rsidRPr="00065EE3">
              <w:rPr>
                <w:rFonts w:ascii="Times New Roman" w:eastAsia="Times New Roman" w:hAnsi="Times New Roman" w:cs="Times New Roman"/>
                <w:color w:val="000000"/>
                <w:sz w:val="26"/>
              </w:rPr>
              <w:t> </w:t>
            </w:r>
            <w:r w:rsidRPr="00065EE3">
              <w:rPr>
                <w:rFonts w:ascii="Times New Roman" w:eastAsia="Times New Roman" w:hAnsi="Times New Roman" w:cs="Times New Roman"/>
                <w:color w:val="000000"/>
                <w:sz w:val="26"/>
                <w:szCs w:val="26"/>
              </w:rPr>
              <w:t>Từ 0</w:t>
            </w:r>
            <w:r w:rsidR="00B90DF1">
              <w:rPr>
                <w:rFonts w:ascii="Times New Roman" w:eastAsia="Times New Roman" w:hAnsi="Times New Roman" w:cs="Times New Roman"/>
                <w:color w:val="000000"/>
                <w:sz w:val="26"/>
                <w:szCs w:val="26"/>
              </w:rPr>
              <w:t>8</w:t>
            </w:r>
            <w:r w:rsidRPr="00065EE3">
              <w:rPr>
                <w:rFonts w:ascii="Times New Roman" w:eastAsia="Times New Roman" w:hAnsi="Times New Roman" w:cs="Times New Roman"/>
                <w:color w:val="000000"/>
                <w:sz w:val="26"/>
                <w:szCs w:val="26"/>
              </w:rPr>
              <w:t xml:space="preserve">h30’ ngày </w:t>
            </w:r>
            <w:r w:rsidR="00B90DF1">
              <w:rPr>
                <w:rFonts w:ascii="Times New Roman" w:eastAsia="Times New Roman" w:hAnsi="Times New Roman" w:cs="Times New Roman"/>
                <w:color w:val="000000"/>
                <w:sz w:val="26"/>
                <w:szCs w:val="26"/>
              </w:rPr>
              <w:t>14</w:t>
            </w:r>
            <w:r w:rsidRPr="00065EE3">
              <w:rPr>
                <w:rFonts w:ascii="Times New Roman" w:eastAsia="Times New Roman" w:hAnsi="Times New Roman" w:cs="Times New Roman"/>
                <w:color w:val="000000"/>
                <w:sz w:val="26"/>
                <w:szCs w:val="26"/>
              </w:rPr>
              <w:t xml:space="preserve"> tháng </w:t>
            </w:r>
            <w:r w:rsidR="00B90DF1">
              <w:rPr>
                <w:rFonts w:ascii="Times New Roman" w:eastAsia="Times New Roman" w:hAnsi="Times New Roman" w:cs="Times New Roman"/>
                <w:color w:val="000000"/>
                <w:sz w:val="26"/>
                <w:szCs w:val="26"/>
              </w:rPr>
              <w:t>8</w:t>
            </w:r>
            <w:r w:rsidRPr="00065EE3">
              <w:rPr>
                <w:rFonts w:ascii="Times New Roman" w:eastAsia="Times New Roman" w:hAnsi="Times New Roman" w:cs="Times New Roman"/>
                <w:color w:val="000000"/>
                <w:sz w:val="26"/>
                <w:szCs w:val="26"/>
              </w:rPr>
              <w:t xml:space="preserve"> năm 2015.</w:t>
            </w:r>
          </w:p>
          <w:p w:rsidR="00065EE3" w:rsidRPr="00065EE3" w:rsidRDefault="00065EE3" w:rsidP="00065EE3">
            <w:pPr>
              <w:spacing w:after="0" w:line="198" w:lineRule="atLeast"/>
              <w:ind w:left="36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26"/>
                <w:szCs w:val="26"/>
              </w:rPr>
              <w:t>2.</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b/>
                <w:bCs/>
                <w:color w:val="000000"/>
                <w:sz w:val="26"/>
                <w:szCs w:val="26"/>
              </w:rPr>
              <w:t>Địa điểm:</w:t>
            </w:r>
            <w:r w:rsidRPr="00065EE3">
              <w:rPr>
                <w:rFonts w:ascii="Times New Roman" w:eastAsia="Times New Roman" w:hAnsi="Times New Roman" w:cs="Times New Roman"/>
                <w:color w:val="000000"/>
                <w:sz w:val="26"/>
              </w:rPr>
              <w:t> </w:t>
            </w:r>
            <w:r w:rsidR="00B90DF1" w:rsidRPr="00B53688">
              <w:rPr>
                <w:rFonts w:ascii="Times New Roman" w:hAnsi="Times New Roman"/>
                <w:sz w:val="26"/>
                <w:szCs w:val="26"/>
              </w:rPr>
              <w:t>Tầng 11, tòa nhà Kim Khí Thăng Long, số 1, Lương Yên, p. Bạch Đằng, q. Hai Bà Trưng, Hà Nội</w:t>
            </w:r>
            <w:r w:rsidRPr="00065EE3">
              <w:rPr>
                <w:rFonts w:ascii="Times New Roman" w:eastAsia="Times New Roman" w:hAnsi="Times New Roman" w:cs="Times New Roman"/>
                <w:color w:val="000000"/>
                <w:sz w:val="26"/>
                <w:szCs w:val="26"/>
              </w:rPr>
              <w:t>.</w:t>
            </w:r>
          </w:p>
          <w:p w:rsidR="00065EE3" w:rsidRPr="00065EE3" w:rsidRDefault="00065EE3" w:rsidP="00065EE3">
            <w:pPr>
              <w:spacing w:after="0" w:line="198" w:lineRule="atLeast"/>
              <w:ind w:left="36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26"/>
                <w:szCs w:val="26"/>
              </w:rPr>
              <w:t>3.</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b/>
                <w:bCs/>
                <w:color w:val="000000"/>
                <w:sz w:val="26"/>
                <w:szCs w:val="26"/>
              </w:rPr>
              <w:t>Nội dung:</w:t>
            </w:r>
            <w:r w:rsidRPr="00065EE3">
              <w:rPr>
                <w:rFonts w:ascii="Times New Roman" w:eastAsia="Times New Roman" w:hAnsi="Times New Roman" w:cs="Times New Roman"/>
                <w:color w:val="000000"/>
                <w:sz w:val="26"/>
              </w:rPr>
              <w:t> </w:t>
            </w:r>
            <w:r w:rsidRPr="00065EE3">
              <w:rPr>
                <w:rFonts w:ascii="Times New Roman" w:eastAsia="Times New Roman" w:hAnsi="Times New Roman" w:cs="Times New Roman"/>
                <w:color w:val="000000"/>
                <w:sz w:val="26"/>
                <w:szCs w:val="26"/>
              </w:rPr>
              <w:t>Đại hội đồng cổ đông sẽ xem xét, thông qua các nội dung sau:</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Báo cáo của Hội đồng quản trị Công ty;</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Kết quả sản xuất kinh doanh năm 2014; Kế hoạch sản xuất kinh doanh năm 2015;</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Báo cáo của Ban Kiểm soát Công ty;</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Báo cáo tài chính năm 2014 của Công ty đã được kiểm toán; Phương án phân phối lợi nhuận năm 2014;</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Báo cáo quyết toán thù lao của Hội đồng quản trị /Ban Kiểm soát năm 2014; Dự kiến phương án trả thù lao Hội đồng quản trị /Ban Kiểm soát năm 2015;</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Tờ trình về việc lựa chọn đơn vị kiểm toán báo cáo tài chính năm 2015;</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Các nội dung khác thuộc thẩm quyền của Đại hội đồng cổ đông thường niên.</w:t>
            </w:r>
          </w:p>
          <w:p w:rsidR="00065EE3" w:rsidRPr="00065EE3" w:rsidRDefault="00065EE3" w:rsidP="00065EE3">
            <w:pPr>
              <w:spacing w:after="0" w:line="198" w:lineRule="atLeast"/>
              <w:ind w:left="36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26"/>
                <w:szCs w:val="26"/>
              </w:rPr>
              <w:t>4.</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b/>
                <w:bCs/>
                <w:color w:val="000000"/>
                <w:sz w:val="26"/>
                <w:szCs w:val="26"/>
              </w:rPr>
              <w:t>Điều kiện tham dự Đại hội</w:t>
            </w:r>
            <w:r w:rsidRPr="00065EE3">
              <w:rPr>
                <w:rFonts w:ascii="Times New Roman" w:eastAsia="Times New Roman" w:hAnsi="Times New Roman" w:cs="Times New Roman"/>
                <w:color w:val="000000"/>
                <w:sz w:val="26"/>
                <w:szCs w:val="26"/>
              </w:rPr>
              <w:t xml:space="preserve">: Tất cả các cổ đông sở hữu cổ phần của Công ty theo danh sách cổ đông chốt ngày 10 tháng </w:t>
            </w:r>
            <w:r w:rsidR="00B90DF1">
              <w:rPr>
                <w:rFonts w:ascii="Times New Roman" w:eastAsia="Times New Roman" w:hAnsi="Times New Roman" w:cs="Times New Roman"/>
                <w:color w:val="000000"/>
                <w:sz w:val="26"/>
                <w:szCs w:val="26"/>
              </w:rPr>
              <w:t>4</w:t>
            </w:r>
            <w:r w:rsidRPr="00065EE3">
              <w:rPr>
                <w:rFonts w:ascii="Times New Roman" w:eastAsia="Times New Roman" w:hAnsi="Times New Roman" w:cs="Times New Roman"/>
                <w:color w:val="000000"/>
                <w:sz w:val="26"/>
                <w:szCs w:val="26"/>
              </w:rPr>
              <w:t xml:space="preserve"> năm 2015 do Trung tâm Lưu ký Chứng khoán Việt Nam công bố; hoặc những người được ủy quyền tham dự hợp lệ theo mẫu quy định gửi kèm theo thông báo này.</w:t>
            </w:r>
          </w:p>
          <w:p w:rsidR="00065EE3" w:rsidRPr="00065EE3" w:rsidRDefault="00065EE3" w:rsidP="00065EE3">
            <w:pPr>
              <w:spacing w:after="0" w:line="198" w:lineRule="atLeast"/>
              <w:ind w:left="36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26"/>
                <w:szCs w:val="26"/>
              </w:rPr>
              <w:t>5.</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b/>
                <w:bCs/>
                <w:color w:val="000000"/>
                <w:sz w:val="26"/>
                <w:szCs w:val="26"/>
              </w:rPr>
              <w:t>Cổ đông hoặc người được ủy quyền đến dự Đại hội cần mang theo các giấy tờ sau:</w:t>
            </w:r>
          </w:p>
          <w:p w:rsidR="00065EE3" w:rsidRPr="00065EE3" w:rsidRDefault="00065EE3" w:rsidP="00065EE3">
            <w:pPr>
              <w:spacing w:after="0" w:line="198" w:lineRule="atLeast"/>
              <w:ind w:left="36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i/>
                <w:iCs/>
                <w:color w:val="000000"/>
                <w:sz w:val="26"/>
                <w:szCs w:val="26"/>
                <w:lang w:val="nl-NL"/>
              </w:rPr>
              <w:t>5.1.</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b/>
                <w:bCs/>
                <w:i/>
                <w:iCs/>
                <w:color w:val="000000"/>
                <w:sz w:val="26"/>
                <w:szCs w:val="26"/>
              </w:rPr>
              <w:t> </w:t>
            </w:r>
            <w:r w:rsidRPr="00065EE3">
              <w:rPr>
                <w:rFonts w:ascii="Times New Roman" w:eastAsia="Times New Roman" w:hAnsi="Times New Roman" w:cs="Times New Roman"/>
                <w:b/>
                <w:bCs/>
                <w:i/>
                <w:iCs/>
                <w:color w:val="000000"/>
                <w:sz w:val="26"/>
                <w:szCs w:val="26"/>
                <w:lang w:val="nl-NL"/>
              </w:rPr>
              <w:t>Đối với cá nhân:</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lang w:val="nl-NL"/>
              </w:rPr>
              <w:t>-</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color w:val="000000"/>
                <w:sz w:val="26"/>
                <w:szCs w:val="26"/>
                <w:lang w:val="nl-NL"/>
              </w:rPr>
              <w:t>Giấy chứng minh nhân dân hoặc Hộ chiếu;</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lang w:val="nl-NL"/>
              </w:rPr>
              <w:t>-</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color w:val="000000"/>
                <w:sz w:val="26"/>
                <w:szCs w:val="26"/>
                <w:lang w:val="nl-NL"/>
              </w:rPr>
              <w:t>Thông báo mời họp (bản gốc).</w:t>
            </w:r>
          </w:p>
          <w:p w:rsidR="00065EE3" w:rsidRPr="00065EE3" w:rsidRDefault="00065EE3" w:rsidP="008D2149">
            <w:pPr>
              <w:spacing w:after="0" w:line="198" w:lineRule="atLeast"/>
              <w:ind w:left="72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i/>
                <w:iCs/>
                <w:color w:val="000000"/>
                <w:sz w:val="26"/>
                <w:szCs w:val="26"/>
                <w:lang w:val="nl-NL"/>
              </w:rPr>
              <w:t>Trường hợp cổ đông ủy quyền cho người khác tham dự Đại hội, người được ủy quyền cần mang theo Giấy chứng minh nhân dân</w:t>
            </w:r>
            <w:r w:rsidRPr="00065EE3">
              <w:rPr>
                <w:rFonts w:ascii="Times New Roman" w:eastAsia="Times New Roman" w:hAnsi="Times New Roman" w:cs="Times New Roman"/>
                <w:color w:val="000000"/>
                <w:sz w:val="26"/>
                <w:lang w:val="nl-NL"/>
              </w:rPr>
              <w:t> </w:t>
            </w:r>
            <w:r w:rsidRPr="00065EE3">
              <w:rPr>
                <w:rFonts w:ascii="Times New Roman" w:eastAsia="Times New Roman" w:hAnsi="Times New Roman" w:cs="Times New Roman"/>
                <w:i/>
                <w:iCs/>
                <w:color w:val="000000"/>
                <w:sz w:val="26"/>
                <w:szCs w:val="26"/>
                <w:lang w:val="nl-NL"/>
              </w:rPr>
              <w:t>hoặc Hộ chiếu, Thông báo mời họp (bản gốc) và Giấy ủy quyền (bản gốc) theo đúng mẫu gửi kèm thông báo này </w:t>
            </w:r>
          </w:p>
          <w:p w:rsidR="00065EE3" w:rsidRPr="00065EE3" w:rsidRDefault="00065EE3" w:rsidP="00065EE3">
            <w:pPr>
              <w:spacing w:after="0" w:line="198" w:lineRule="atLeast"/>
              <w:ind w:left="36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i/>
                <w:iCs/>
                <w:color w:val="000000"/>
                <w:sz w:val="26"/>
                <w:szCs w:val="26"/>
                <w:lang w:val="nl-NL"/>
              </w:rPr>
              <w:t>5.2.</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b/>
                <w:bCs/>
                <w:i/>
                <w:iCs/>
                <w:color w:val="000000"/>
                <w:sz w:val="26"/>
                <w:szCs w:val="26"/>
                <w:lang w:val="nl-NL"/>
              </w:rPr>
              <w:t> Đối với tổ chức:</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lang w:val="nl-NL"/>
              </w:rPr>
              <w:t>-</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color w:val="000000"/>
                <w:sz w:val="26"/>
                <w:szCs w:val="26"/>
                <w:lang w:val="nl-NL"/>
              </w:rPr>
              <w:t>Bản sao công chứng Giấy chứng nhận Đăng ký kinh doanh;</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lang w:val="nl-NL"/>
              </w:rPr>
              <w:t>-</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color w:val="000000"/>
                <w:sz w:val="26"/>
                <w:szCs w:val="26"/>
                <w:lang w:val="nl-NL"/>
              </w:rPr>
              <w:t>Giấy chứng minh nhân dân hoặc Hộ chiếu của người đại diện theo pháp luật và Thông báo mời họp (bản gốc).</w:t>
            </w:r>
          </w:p>
          <w:p w:rsidR="00065EE3" w:rsidRPr="00065EE3" w:rsidRDefault="00065EE3" w:rsidP="00065EE3">
            <w:pPr>
              <w:spacing w:after="0" w:line="198" w:lineRule="atLeast"/>
              <w:ind w:left="72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i/>
                <w:iCs/>
                <w:color w:val="000000"/>
                <w:sz w:val="26"/>
                <w:szCs w:val="26"/>
                <w:lang w:val="nl-NL"/>
              </w:rPr>
              <w:t>Trường hợp cổ đông ủy quyền cho người khác tham dự Đại hội, người được ủy quyền cần mang theo Giấy chứng minh nhân dân</w:t>
            </w:r>
            <w:r w:rsidRPr="00065EE3">
              <w:rPr>
                <w:rFonts w:ascii="Times New Roman" w:eastAsia="Times New Roman" w:hAnsi="Times New Roman" w:cs="Times New Roman"/>
                <w:color w:val="000000"/>
                <w:sz w:val="26"/>
                <w:lang w:val="nl-NL"/>
              </w:rPr>
              <w:t> </w:t>
            </w:r>
            <w:r w:rsidRPr="00065EE3">
              <w:rPr>
                <w:rFonts w:ascii="Times New Roman" w:eastAsia="Times New Roman" w:hAnsi="Times New Roman" w:cs="Times New Roman"/>
                <w:i/>
                <w:iCs/>
                <w:color w:val="000000"/>
                <w:sz w:val="26"/>
                <w:szCs w:val="26"/>
                <w:lang w:val="nl-NL"/>
              </w:rPr>
              <w:t>hoặc Hộ chiếu, Thông báo mời họp (bản gốc), bản sao công chứng Giấy chứng nhận Đăng ký kinh doanh và Giấy ủy quyền (bản gốc) theo đúng mẫu gửi kèm thông báo này.</w:t>
            </w:r>
          </w:p>
          <w:p w:rsidR="00065EE3" w:rsidRPr="00065EE3" w:rsidRDefault="006A1DAB" w:rsidP="00065EE3">
            <w:pPr>
              <w:spacing w:after="0" w:line="198" w:lineRule="atLeast"/>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lang w:val="nl-NL"/>
              </w:rPr>
              <w:t>6</w:t>
            </w:r>
            <w:r w:rsidR="00065EE3" w:rsidRPr="00065EE3">
              <w:rPr>
                <w:rFonts w:ascii="Times New Roman" w:eastAsia="Times New Roman" w:hAnsi="Times New Roman" w:cs="Times New Roman"/>
                <w:b/>
                <w:bCs/>
                <w:color w:val="000000"/>
                <w:sz w:val="26"/>
                <w:szCs w:val="26"/>
                <w:lang w:val="nl-NL"/>
              </w:rPr>
              <w:t>.</w:t>
            </w:r>
            <w:r w:rsidR="00065EE3" w:rsidRPr="00065EE3">
              <w:rPr>
                <w:rFonts w:ascii="Times New Roman" w:eastAsia="Times New Roman" w:hAnsi="Times New Roman" w:cs="Times New Roman"/>
                <w:color w:val="000000"/>
                <w:sz w:val="14"/>
                <w:szCs w:val="14"/>
                <w:lang w:val="nl-NL"/>
              </w:rPr>
              <w:t>     </w:t>
            </w:r>
            <w:r w:rsidR="00065EE3" w:rsidRPr="00065EE3">
              <w:rPr>
                <w:rFonts w:ascii="Times New Roman" w:eastAsia="Times New Roman" w:hAnsi="Times New Roman" w:cs="Times New Roman"/>
                <w:color w:val="000000"/>
                <w:sz w:val="14"/>
                <w:lang w:val="nl-NL"/>
              </w:rPr>
              <w:t> </w:t>
            </w:r>
            <w:r w:rsidR="00065EE3" w:rsidRPr="00065EE3">
              <w:rPr>
                <w:rFonts w:ascii="Times New Roman" w:eastAsia="Times New Roman" w:hAnsi="Times New Roman" w:cs="Times New Roman"/>
                <w:b/>
                <w:bCs/>
                <w:color w:val="000000"/>
                <w:sz w:val="26"/>
                <w:szCs w:val="26"/>
                <w:lang w:val="nl-NL"/>
              </w:rPr>
              <w:t>Biểu quyết từ xa:</w:t>
            </w:r>
            <w:r w:rsidR="00065EE3" w:rsidRPr="00065EE3">
              <w:rPr>
                <w:rFonts w:ascii="Times New Roman" w:eastAsia="Times New Roman" w:hAnsi="Times New Roman" w:cs="Times New Roman"/>
                <w:b/>
                <w:bCs/>
                <w:color w:val="000000"/>
                <w:sz w:val="26"/>
                <w:lang w:val="nl-NL"/>
              </w:rPr>
              <w:t> </w:t>
            </w:r>
            <w:r w:rsidR="00065EE3" w:rsidRPr="00065EE3">
              <w:rPr>
                <w:rFonts w:ascii="Times New Roman" w:eastAsia="Times New Roman" w:hAnsi="Times New Roman" w:cs="Times New Roman"/>
                <w:color w:val="000000"/>
                <w:sz w:val="26"/>
                <w:szCs w:val="26"/>
                <w:lang w:val="nl-NL"/>
              </w:rPr>
              <w:t xml:space="preserve">Cổ đông không trực tiếp tham dự Đại hội và hoặc không ủy quyền </w:t>
            </w:r>
            <w:r w:rsidR="00065EE3" w:rsidRPr="00065EE3">
              <w:rPr>
                <w:rFonts w:ascii="Times New Roman" w:eastAsia="Times New Roman" w:hAnsi="Times New Roman" w:cs="Times New Roman"/>
                <w:color w:val="000000"/>
                <w:sz w:val="26"/>
                <w:szCs w:val="26"/>
                <w:lang w:val="nl-NL"/>
              </w:rPr>
              <w:lastRenderedPageBreak/>
              <w:t xml:space="preserve">cho người khác tham dự Đại hội, nếu có yêu cầu thực hiện quyền biểu quyết từ xa, đề nghị liên hệ với Công ty trước ngày </w:t>
            </w:r>
            <w:r w:rsidR="00B90DF1">
              <w:rPr>
                <w:rFonts w:ascii="Times New Roman" w:eastAsia="Times New Roman" w:hAnsi="Times New Roman" w:cs="Times New Roman"/>
                <w:color w:val="000000"/>
                <w:sz w:val="26"/>
                <w:szCs w:val="26"/>
                <w:lang w:val="nl-NL"/>
              </w:rPr>
              <w:t>11</w:t>
            </w:r>
            <w:r w:rsidR="00065EE3" w:rsidRPr="00065EE3">
              <w:rPr>
                <w:rFonts w:ascii="Times New Roman" w:eastAsia="Times New Roman" w:hAnsi="Times New Roman" w:cs="Times New Roman"/>
                <w:color w:val="000000"/>
                <w:sz w:val="26"/>
                <w:szCs w:val="26"/>
                <w:lang w:val="nl-NL"/>
              </w:rPr>
              <w:t xml:space="preserve"> tháng 4 năm 201</w:t>
            </w:r>
            <w:r w:rsidR="00A03B1E">
              <w:rPr>
                <w:rFonts w:ascii="Times New Roman" w:eastAsia="Times New Roman" w:hAnsi="Times New Roman" w:cs="Times New Roman"/>
                <w:color w:val="000000"/>
                <w:sz w:val="26"/>
                <w:szCs w:val="26"/>
                <w:lang w:val="nl-NL"/>
              </w:rPr>
              <w:t xml:space="preserve">5 để </w:t>
            </w:r>
            <w:r w:rsidR="00065EE3" w:rsidRPr="00065EE3">
              <w:rPr>
                <w:rFonts w:ascii="Times New Roman" w:eastAsia="Times New Roman" w:hAnsi="Times New Roman" w:cs="Times New Roman"/>
                <w:color w:val="000000"/>
                <w:sz w:val="26"/>
                <w:szCs w:val="26"/>
                <w:lang w:val="nl-NL"/>
              </w:rPr>
              <w:t>được hướng dẫn thực hiện thủ tục biểu quyết từ xa.</w:t>
            </w:r>
          </w:p>
          <w:p w:rsidR="00065EE3" w:rsidRPr="00065EE3" w:rsidRDefault="006A1DAB" w:rsidP="00065EE3">
            <w:pPr>
              <w:spacing w:after="0" w:line="198" w:lineRule="atLeast"/>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lang w:val="nl-NL"/>
              </w:rPr>
              <w:t>7</w:t>
            </w:r>
            <w:r w:rsidR="00065EE3" w:rsidRPr="00065EE3">
              <w:rPr>
                <w:rFonts w:ascii="Times New Roman" w:eastAsia="Times New Roman" w:hAnsi="Times New Roman" w:cs="Times New Roman"/>
                <w:b/>
                <w:bCs/>
                <w:color w:val="000000"/>
                <w:sz w:val="26"/>
                <w:szCs w:val="26"/>
                <w:lang w:val="nl-NL"/>
              </w:rPr>
              <w:t>.</w:t>
            </w:r>
            <w:r w:rsidR="00065EE3" w:rsidRPr="00065EE3">
              <w:rPr>
                <w:rFonts w:ascii="Times New Roman" w:eastAsia="Times New Roman" w:hAnsi="Times New Roman" w:cs="Times New Roman"/>
                <w:color w:val="000000"/>
                <w:sz w:val="14"/>
                <w:szCs w:val="14"/>
                <w:lang w:val="nl-NL"/>
              </w:rPr>
              <w:t>     </w:t>
            </w:r>
            <w:r w:rsidR="00065EE3" w:rsidRPr="00065EE3">
              <w:rPr>
                <w:rFonts w:ascii="Times New Roman" w:eastAsia="Times New Roman" w:hAnsi="Times New Roman" w:cs="Times New Roman"/>
                <w:color w:val="000000"/>
                <w:sz w:val="14"/>
                <w:lang w:val="nl-NL"/>
              </w:rPr>
              <w:t> </w:t>
            </w:r>
            <w:r w:rsidR="00065EE3" w:rsidRPr="00065EE3">
              <w:rPr>
                <w:rFonts w:ascii="Times New Roman" w:eastAsia="Times New Roman" w:hAnsi="Times New Roman" w:cs="Times New Roman"/>
                <w:b/>
                <w:bCs/>
                <w:color w:val="000000"/>
                <w:sz w:val="26"/>
                <w:szCs w:val="26"/>
                <w:lang w:val="nl-NL"/>
              </w:rPr>
              <w:t>Các tài liệu gửi kèm theo thông báo:</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pacing w:val="-8"/>
                <w:sz w:val="26"/>
                <w:szCs w:val="26"/>
                <w:lang w:val="nl-NL"/>
              </w:rPr>
              <w:t>-</w:t>
            </w:r>
            <w:r w:rsidR="00A03B1E">
              <w:rPr>
                <w:rFonts w:ascii="Times New Roman" w:eastAsia="Times New Roman" w:hAnsi="Times New Roman" w:cs="Times New Roman"/>
                <w:color w:val="000000"/>
                <w:spacing w:val="-8"/>
                <w:sz w:val="14"/>
                <w:szCs w:val="14"/>
                <w:lang w:val="nl-NL"/>
              </w:rPr>
              <w:t>           </w:t>
            </w:r>
            <w:r w:rsidRPr="00065EE3">
              <w:rPr>
                <w:rFonts w:ascii="Times New Roman" w:eastAsia="Times New Roman" w:hAnsi="Times New Roman" w:cs="Times New Roman"/>
                <w:color w:val="000000"/>
                <w:spacing w:val="-8"/>
                <w:sz w:val="14"/>
                <w:lang w:val="nl-NL"/>
              </w:rPr>
              <w:t> </w:t>
            </w:r>
            <w:r w:rsidRPr="00065EE3">
              <w:rPr>
                <w:rFonts w:ascii="Times New Roman" w:eastAsia="Times New Roman" w:hAnsi="Times New Roman" w:cs="Times New Roman"/>
                <w:color w:val="000000"/>
                <w:spacing w:val="-8"/>
                <w:sz w:val="26"/>
                <w:szCs w:val="26"/>
                <w:lang w:val="nl-NL"/>
              </w:rPr>
              <w:t>Mẫu Giấy xác nhận tham dự hoặc ủy quyền tham dự ĐHĐCĐ thường niên năm 2015;</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lang w:val="nl-NL"/>
              </w:rPr>
              <w:t>-</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color w:val="000000"/>
                <w:sz w:val="26"/>
                <w:szCs w:val="26"/>
                <w:lang w:val="nl-NL"/>
              </w:rPr>
              <w:t>Các tài liệu khác của Đại hội: Kính đề nghị Quý cổ đông tải về từ website của Công ty tại địa chỉ:</w:t>
            </w:r>
            <w:r w:rsidRPr="00065EE3">
              <w:rPr>
                <w:rFonts w:ascii="Times New Roman" w:eastAsia="Times New Roman" w:hAnsi="Times New Roman" w:cs="Times New Roman"/>
                <w:color w:val="000000"/>
                <w:sz w:val="26"/>
                <w:lang w:val="nl-NL"/>
              </w:rPr>
              <w:t> </w:t>
            </w:r>
            <w:hyperlink r:id="rId6" w:history="1">
              <w:r w:rsidR="00214270" w:rsidRPr="0015084F">
                <w:rPr>
                  <w:rStyle w:val="Hyperlink"/>
                  <w:rFonts w:ascii="Times New Roman" w:eastAsia="Times New Roman" w:hAnsi="Times New Roman" w:cs="Times New Roman"/>
                  <w:sz w:val="27"/>
                  <w:lang w:val="nl-NL"/>
                </w:rPr>
                <w:t>http://www.nisco.vn</w:t>
              </w:r>
            </w:hyperlink>
            <w:r w:rsidRPr="00065EE3">
              <w:rPr>
                <w:rFonts w:ascii="Times New Roman" w:eastAsia="Times New Roman" w:hAnsi="Times New Roman" w:cs="Times New Roman"/>
                <w:color w:val="000000"/>
                <w:sz w:val="26"/>
                <w:szCs w:val="26"/>
                <w:lang w:val="nl-NL"/>
              </w:rPr>
              <w:t>; Trường hợp không tải được, đề nghị Quý cổ đông liên hệ để nhận tài liệu trực tiếp từ Công ty.</w:t>
            </w:r>
          </w:p>
          <w:p w:rsidR="00065EE3" w:rsidRPr="00065EE3" w:rsidRDefault="006A1DAB" w:rsidP="00065EE3">
            <w:pPr>
              <w:spacing w:after="0" w:line="198" w:lineRule="atLeast"/>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lang w:val="nl-NL"/>
              </w:rPr>
              <w:t>8</w:t>
            </w:r>
            <w:r w:rsidR="00065EE3" w:rsidRPr="00065EE3">
              <w:rPr>
                <w:rFonts w:ascii="Times New Roman" w:eastAsia="Times New Roman" w:hAnsi="Times New Roman" w:cs="Times New Roman"/>
                <w:b/>
                <w:bCs/>
                <w:color w:val="000000"/>
                <w:sz w:val="26"/>
                <w:szCs w:val="26"/>
                <w:lang w:val="nl-NL"/>
              </w:rPr>
              <w:t>.</w:t>
            </w:r>
            <w:r w:rsidR="00065EE3" w:rsidRPr="00065EE3">
              <w:rPr>
                <w:rFonts w:ascii="Times New Roman" w:eastAsia="Times New Roman" w:hAnsi="Times New Roman" w:cs="Times New Roman"/>
                <w:color w:val="000000"/>
                <w:sz w:val="14"/>
                <w:szCs w:val="14"/>
                <w:lang w:val="nl-NL"/>
              </w:rPr>
              <w:t>     </w:t>
            </w:r>
            <w:r w:rsidR="00065EE3" w:rsidRPr="00065EE3">
              <w:rPr>
                <w:rFonts w:ascii="Times New Roman" w:eastAsia="Times New Roman" w:hAnsi="Times New Roman" w:cs="Times New Roman"/>
                <w:color w:val="000000"/>
                <w:sz w:val="14"/>
                <w:lang w:val="nl-NL"/>
              </w:rPr>
              <w:t> </w:t>
            </w:r>
            <w:r w:rsidR="00065EE3" w:rsidRPr="00065EE3">
              <w:rPr>
                <w:rFonts w:ascii="Times New Roman" w:eastAsia="Times New Roman" w:hAnsi="Times New Roman" w:cs="Times New Roman"/>
                <w:b/>
                <w:bCs/>
                <w:color w:val="000000"/>
                <w:sz w:val="26"/>
                <w:szCs w:val="26"/>
                <w:lang w:val="nl-NL"/>
              </w:rPr>
              <w:t>Đăng ký xác nhận tham dự họp ĐHĐCĐ:</w:t>
            </w:r>
            <w:r w:rsidR="00065EE3" w:rsidRPr="00065EE3">
              <w:rPr>
                <w:rFonts w:ascii="Times New Roman" w:eastAsia="Times New Roman" w:hAnsi="Times New Roman" w:cs="Times New Roman"/>
                <w:b/>
                <w:bCs/>
                <w:color w:val="000000"/>
                <w:sz w:val="26"/>
                <w:lang w:val="nl-NL"/>
              </w:rPr>
              <w:t> </w:t>
            </w:r>
            <w:r w:rsidR="00065EE3" w:rsidRPr="00065EE3">
              <w:rPr>
                <w:rFonts w:ascii="Times New Roman" w:eastAsia="Times New Roman" w:hAnsi="Times New Roman" w:cs="Times New Roman"/>
                <w:color w:val="000000"/>
                <w:sz w:val="26"/>
                <w:szCs w:val="26"/>
                <w:lang w:val="nl-NL"/>
              </w:rPr>
              <w:t xml:space="preserve">Để thuận tiện cho công tác tổ chức Đại hội, đề nghị Quý Cổ đông đăng ký xác nhận tham dự họp ĐHĐCĐ trước ngày </w:t>
            </w:r>
            <w:r w:rsidR="00214270">
              <w:rPr>
                <w:rFonts w:ascii="Times New Roman" w:eastAsia="Times New Roman" w:hAnsi="Times New Roman" w:cs="Times New Roman"/>
                <w:color w:val="000000"/>
                <w:sz w:val="26"/>
                <w:szCs w:val="26"/>
                <w:lang w:val="nl-NL"/>
              </w:rPr>
              <w:t>12</w:t>
            </w:r>
            <w:r w:rsidR="00065EE3" w:rsidRPr="00065EE3">
              <w:rPr>
                <w:rFonts w:ascii="Times New Roman" w:eastAsia="Times New Roman" w:hAnsi="Times New Roman" w:cs="Times New Roman"/>
                <w:color w:val="000000"/>
                <w:sz w:val="26"/>
                <w:szCs w:val="26"/>
                <w:lang w:val="nl-NL"/>
              </w:rPr>
              <w:t xml:space="preserve"> tháng </w:t>
            </w:r>
            <w:r w:rsidR="00214270">
              <w:rPr>
                <w:rFonts w:ascii="Times New Roman" w:eastAsia="Times New Roman" w:hAnsi="Times New Roman" w:cs="Times New Roman"/>
                <w:color w:val="000000"/>
                <w:sz w:val="26"/>
                <w:szCs w:val="26"/>
                <w:lang w:val="nl-NL"/>
              </w:rPr>
              <w:t>8</w:t>
            </w:r>
            <w:r w:rsidR="00065EE3" w:rsidRPr="00065EE3">
              <w:rPr>
                <w:rFonts w:ascii="Times New Roman" w:eastAsia="Times New Roman" w:hAnsi="Times New Roman" w:cs="Times New Roman"/>
                <w:color w:val="000000"/>
                <w:sz w:val="26"/>
                <w:szCs w:val="26"/>
                <w:lang w:val="nl-NL"/>
              </w:rPr>
              <w:t xml:space="preserve"> năm 2015. Quý Cổ đông gửi Giấy xác nhận tham dự hoặc ủy quyền tham dự ĐHĐCĐ thường niên 2015 (gửi kèm theo thông báo này</w:t>
            </w:r>
            <w:r w:rsidR="000D7E1C">
              <w:rPr>
                <w:rFonts w:ascii="Times New Roman" w:eastAsia="Times New Roman" w:hAnsi="Times New Roman" w:cs="Times New Roman"/>
                <w:color w:val="000000"/>
                <w:sz w:val="26"/>
                <w:szCs w:val="26"/>
                <w:lang w:val="nl-NL"/>
              </w:rPr>
              <w:t xml:space="preserve">) về Công ty hoặc gửi Fax, </w:t>
            </w:r>
            <w:r w:rsidR="00065EE3" w:rsidRPr="00065EE3">
              <w:rPr>
                <w:rFonts w:ascii="Times New Roman" w:eastAsia="Times New Roman" w:hAnsi="Times New Roman" w:cs="Times New Roman"/>
                <w:color w:val="000000"/>
                <w:sz w:val="26"/>
                <w:szCs w:val="26"/>
                <w:lang w:val="nl-NL"/>
              </w:rPr>
              <w:t>theo địa chỉ của Ban liên lạc cổ đông.</w:t>
            </w:r>
          </w:p>
          <w:p w:rsidR="00065EE3" w:rsidRPr="00065EE3" w:rsidRDefault="00065EE3" w:rsidP="00065EE3">
            <w:pPr>
              <w:spacing w:after="0" w:line="198" w:lineRule="atLeast"/>
              <w:ind w:left="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lang w:val="nl-NL"/>
              </w:rPr>
              <w:t>Quý cổ đông cần hỗ trợ hay bất kỳ thắc mắc nào đề nghị liên hệ:</w:t>
            </w:r>
          </w:p>
          <w:p w:rsidR="00065EE3" w:rsidRPr="00065EE3" w:rsidRDefault="00065EE3" w:rsidP="00065EE3">
            <w:pPr>
              <w:spacing w:after="0" w:line="198" w:lineRule="atLeast"/>
              <w:ind w:left="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b/>
                <w:bCs/>
                <w:color w:val="000000"/>
                <w:sz w:val="26"/>
                <w:szCs w:val="26"/>
                <w:lang w:val="nl-NL"/>
              </w:rPr>
              <w:t xml:space="preserve">Ban liên lạc cổ đông - Công ty Cổ phần </w:t>
            </w:r>
            <w:r w:rsidR="00214270">
              <w:rPr>
                <w:rFonts w:ascii="Times New Roman" w:eastAsia="Times New Roman" w:hAnsi="Times New Roman" w:cs="Times New Roman"/>
                <w:b/>
                <w:bCs/>
                <w:color w:val="000000"/>
                <w:sz w:val="26"/>
                <w:szCs w:val="26"/>
                <w:lang w:val="nl-NL"/>
              </w:rPr>
              <w:t>Dịch vụ Hạ tầng mạng</w:t>
            </w:r>
          </w:p>
          <w:p w:rsidR="00065EE3" w:rsidRPr="00065EE3" w:rsidRDefault="00065EE3" w:rsidP="00065EE3">
            <w:pPr>
              <w:spacing w:after="0" w:line="198" w:lineRule="atLeast"/>
              <w:ind w:left="720" w:hanging="36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26"/>
                <w:szCs w:val="26"/>
                <w:lang w:val="nl-NL"/>
              </w:rPr>
              <w:t>-</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00214270" w:rsidRPr="00B53688">
              <w:rPr>
                <w:rFonts w:ascii="Times New Roman" w:hAnsi="Times New Roman"/>
                <w:sz w:val="26"/>
                <w:szCs w:val="26"/>
              </w:rPr>
              <w:t>Tầng 11, tòa nhà Kim Khí Thăng Long, số 1, Lương Yên, p. Bạch Đằng, q. Hai Bà Trưng, Hà Nội</w:t>
            </w:r>
            <w:r w:rsidRPr="00065EE3">
              <w:rPr>
                <w:rFonts w:ascii="Times New Roman" w:eastAsia="Times New Roman" w:hAnsi="Times New Roman" w:cs="Times New Roman"/>
                <w:color w:val="000000"/>
                <w:sz w:val="26"/>
                <w:szCs w:val="26"/>
                <w:lang w:val="nl-NL"/>
              </w:rPr>
              <w:t>;</w:t>
            </w:r>
          </w:p>
          <w:p w:rsidR="00214270" w:rsidRDefault="00065EE3" w:rsidP="00065EE3">
            <w:pPr>
              <w:spacing w:after="0" w:line="198" w:lineRule="atLeast"/>
              <w:ind w:left="720" w:hanging="360"/>
              <w:jc w:val="both"/>
              <w:rPr>
                <w:rFonts w:ascii=".VnTime" w:hAnsi=".VnTime"/>
                <w:sz w:val="24"/>
                <w:szCs w:val="24"/>
              </w:rPr>
            </w:pPr>
            <w:r w:rsidRPr="00065EE3">
              <w:rPr>
                <w:rFonts w:ascii="Times New Roman" w:eastAsia="Times New Roman" w:hAnsi="Times New Roman" w:cs="Times New Roman"/>
                <w:color w:val="000000"/>
                <w:sz w:val="26"/>
                <w:szCs w:val="26"/>
                <w:lang w:val="nl-NL"/>
              </w:rPr>
              <w:t>-</w:t>
            </w:r>
            <w:r w:rsidRPr="00065EE3">
              <w:rPr>
                <w:rFonts w:ascii="Times New Roman" w:eastAsia="Times New Roman" w:hAnsi="Times New Roman" w:cs="Times New Roman"/>
                <w:color w:val="000000"/>
                <w:sz w:val="14"/>
                <w:szCs w:val="14"/>
                <w:lang w:val="nl-NL"/>
              </w:rPr>
              <w:t>        </w:t>
            </w:r>
            <w:r w:rsidRPr="00065EE3">
              <w:rPr>
                <w:rFonts w:ascii="Times New Roman" w:eastAsia="Times New Roman" w:hAnsi="Times New Roman" w:cs="Times New Roman"/>
                <w:color w:val="000000"/>
                <w:sz w:val="14"/>
                <w:lang w:val="nl-NL"/>
              </w:rPr>
              <w:t> </w:t>
            </w:r>
            <w:r w:rsidRPr="00065EE3">
              <w:rPr>
                <w:rFonts w:ascii="Times New Roman" w:eastAsia="Times New Roman" w:hAnsi="Times New Roman" w:cs="Times New Roman"/>
                <w:color w:val="000000"/>
                <w:sz w:val="26"/>
                <w:szCs w:val="26"/>
                <w:lang w:val="nl-NL"/>
              </w:rPr>
              <w:t xml:space="preserve">Số điện thoại: </w:t>
            </w:r>
            <w:r w:rsidR="00214270" w:rsidRPr="00BF46C2">
              <w:rPr>
                <w:rFonts w:ascii=".VnTime" w:hAnsi=".VnTime"/>
                <w:sz w:val="24"/>
                <w:szCs w:val="24"/>
              </w:rPr>
              <w:t xml:space="preserve"> 04.37854291</w:t>
            </w:r>
            <w:r w:rsidR="00A36C3E">
              <w:rPr>
                <w:rFonts w:ascii=".VnTime" w:hAnsi=".VnTime"/>
                <w:sz w:val="24"/>
                <w:szCs w:val="24"/>
              </w:rPr>
              <w:t>/</w:t>
            </w:r>
            <w:r w:rsidR="00214270" w:rsidRPr="00BF46C2">
              <w:rPr>
                <w:rFonts w:ascii=".VnTime" w:hAnsi=".VnTime"/>
                <w:sz w:val="24"/>
                <w:szCs w:val="24"/>
              </w:rPr>
              <w:t xml:space="preserve">  </w:t>
            </w:r>
            <w:r w:rsidR="00214270" w:rsidRPr="00CA3EB8">
              <w:rPr>
                <w:rFonts w:ascii="Times New Roman" w:hAnsi="Times New Roman"/>
                <w:sz w:val="26"/>
                <w:szCs w:val="26"/>
              </w:rPr>
              <w:t xml:space="preserve">ext: 0  </w:t>
            </w:r>
            <w:r w:rsidR="00214270" w:rsidRPr="00BF46C2">
              <w:rPr>
                <w:rFonts w:ascii=".VnTime" w:hAnsi=".VnTime"/>
                <w:sz w:val="24"/>
                <w:szCs w:val="24"/>
              </w:rPr>
              <w:t xml:space="preserve">      </w:t>
            </w:r>
            <w:r w:rsidR="00214270" w:rsidRPr="00BF46C2">
              <w:rPr>
                <w:rFonts w:ascii=".VnTime" w:hAnsi=".VnTime"/>
                <w:sz w:val="24"/>
                <w:szCs w:val="24"/>
              </w:rPr>
              <w:tab/>
              <w:t xml:space="preserve"> </w:t>
            </w:r>
          </w:p>
          <w:p w:rsidR="00A3053A" w:rsidRPr="00A3053A" w:rsidRDefault="00065EE3" w:rsidP="00A3053A">
            <w:pPr>
              <w:spacing w:after="0" w:line="198" w:lineRule="atLeast"/>
              <w:ind w:left="720" w:hanging="360"/>
              <w:jc w:val="both"/>
              <w:rPr>
                <w:rFonts w:ascii="Times New Roman" w:eastAsia="Times New Roman" w:hAnsi="Times New Roman" w:cs="Times New Roman"/>
                <w:color w:val="000000"/>
                <w:sz w:val="26"/>
                <w:szCs w:val="26"/>
              </w:rPr>
            </w:pPr>
            <w:r w:rsidRPr="00065EE3">
              <w:rPr>
                <w:rFonts w:ascii="Times New Roman" w:eastAsia="Times New Roman" w:hAnsi="Times New Roman" w:cs="Times New Roman"/>
                <w:color w:val="000000"/>
                <w:sz w:val="26"/>
                <w:szCs w:val="26"/>
              </w:rPr>
              <w:t>-</w:t>
            </w:r>
            <w:r w:rsidRPr="00065EE3">
              <w:rPr>
                <w:rFonts w:ascii="Times New Roman" w:eastAsia="Times New Roman" w:hAnsi="Times New Roman" w:cs="Times New Roman"/>
                <w:color w:val="000000"/>
                <w:sz w:val="14"/>
                <w:szCs w:val="14"/>
              </w:rPr>
              <w:t>        </w:t>
            </w:r>
            <w:r w:rsidRPr="00065EE3">
              <w:rPr>
                <w:rFonts w:ascii="Times New Roman" w:eastAsia="Times New Roman" w:hAnsi="Times New Roman" w:cs="Times New Roman"/>
                <w:color w:val="000000"/>
                <w:sz w:val="14"/>
              </w:rPr>
              <w:t> </w:t>
            </w:r>
            <w:r w:rsidRPr="00065EE3">
              <w:rPr>
                <w:rFonts w:ascii="Times New Roman" w:eastAsia="Times New Roman" w:hAnsi="Times New Roman" w:cs="Times New Roman"/>
                <w:color w:val="000000"/>
                <w:sz w:val="26"/>
                <w:szCs w:val="26"/>
              </w:rPr>
              <w:t xml:space="preserve">Fax: </w:t>
            </w:r>
            <w:r w:rsidR="00214270" w:rsidRPr="00BF46C2">
              <w:rPr>
                <w:rFonts w:ascii=".VnTime" w:hAnsi=".VnTime"/>
                <w:sz w:val="24"/>
                <w:szCs w:val="24"/>
              </w:rPr>
              <w:t>04.37854265</w:t>
            </w:r>
            <w:r w:rsidRPr="00065EE3">
              <w:rPr>
                <w:rFonts w:ascii="Times New Roman" w:eastAsia="Times New Roman" w:hAnsi="Times New Roman" w:cs="Times New Roman"/>
                <w:color w:val="000000"/>
                <w:sz w:val="26"/>
                <w:szCs w:val="26"/>
              </w:rPr>
              <w:t>;</w:t>
            </w:r>
            <w:r w:rsidR="00A36C3E">
              <w:rPr>
                <w:rFonts w:ascii="Times New Roman" w:eastAsia="Times New Roman" w:hAnsi="Times New Roman" w:cs="Times New Roman"/>
                <w:color w:val="000000"/>
                <w:sz w:val="26"/>
                <w:szCs w:val="26"/>
              </w:rPr>
              <w:t xml:space="preserve"> 04.39729999</w:t>
            </w:r>
          </w:p>
          <w:p w:rsidR="00065EE3" w:rsidRPr="00A3053A" w:rsidRDefault="00065EE3" w:rsidP="00065EE3">
            <w:pPr>
              <w:spacing w:after="0" w:line="198" w:lineRule="atLeast"/>
              <w:ind w:firstLine="360"/>
              <w:jc w:val="both"/>
              <w:rPr>
                <w:rFonts w:ascii="Times New Roman" w:eastAsia="Times New Roman" w:hAnsi="Times New Roman" w:cs="Times New Roman"/>
                <w:b/>
                <w:color w:val="000000"/>
                <w:sz w:val="24"/>
                <w:szCs w:val="24"/>
              </w:rPr>
            </w:pPr>
            <w:r w:rsidRPr="00A3053A">
              <w:rPr>
                <w:rFonts w:ascii="Times New Roman" w:eastAsia="Times New Roman" w:hAnsi="Times New Roman" w:cs="Times New Roman"/>
                <w:b/>
                <w:color w:val="000000"/>
                <w:sz w:val="26"/>
                <w:szCs w:val="26"/>
              </w:rPr>
              <w:t>Thông báo này thay cho giấy mời!</w:t>
            </w:r>
          </w:p>
          <w:p w:rsidR="00065EE3" w:rsidRPr="00065EE3" w:rsidRDefault="00065EE3" w:rsidP="00065EE3">
            <w:pPr>
              <w:spacing w:before="60" w:after="0" w:line="216" w:lineRule="atLeast"/>
              <w:ind w:firstLine="720"/>
              <w:jc w:val="both"/>
              <w:rPr>
                <w:rFonts w:ascii="Times New Roman" w:eastAsia="Times New Roman" w:hAnsi="Times New Roman" w:cs="Times New Roman"/>
                <w:color w:val="000000"/>
                <w:sz w:val="24"/>
                <w:szCs w:val="24"/>
              </w:rPr>
            </w:pPr>
            <w:r w:rsidRPr="00065EE3">
              <w:rPr>
                <w:rFonts w:ascii="Times New Roman" w:eastAsia="Times New Roman" w:hAnsi="Times New Roman" w:cs="Times New Roman"/>
                <w:color w:val="000000"/>
                <w:sz w:val="10"/>
                <w:szCs w:val="10"/>
              </w:rPr>
              <w:t> </w:t>
            </w:r>
          </w:p>
          <w:tbl>
            <w:tblPr>
              <w:tblW w:w="0" w:type="auto"/>
              <w:tblCellMar>
                <w:left w:w="0" w:type="dxa"/>
                <w:right w:w="0" w:type="dxa"/>
              </w:tblCellMar>
              <w:tblLook w:val="04A0" w:firstRow="1" w:lastRow="0" w:firstColumn="1" w:lastColumn="0" w:noHBand="0" w:noVBand="1"/>
            </w:tblPr>
            <w:tblGrid>
              <w:gridCol w:w="4759"/>
              <w:gridCol w:w="4773"/>
            </w:tblGrid>
            <w:tr w:rsidR="00065EE3" w:rsidRPr="00065EE3" w:rsidTr="00065EE3">
              <w:tc>
                <w:tcPr>
                  <w:tcW w:w="4837" w:type="dxa"/>
                  <w:tcBorders>
                    <w:top w:val="nil"/>
                    <w:left w:val="nil"/>
                    <w:bottom w:val="nil"/>
                    <w:right w:val="nil"/>
                  </w:tcBorders>
                  <w:shd w:val="clear" w:color="auto" w:fill="auto"/>
                  <w:tcMar>
                    <w:top w:w="0" w:type="dxa"/>
                    <w:left w:w="108" w:type="dxa"/>
                    <w:bottom w:w="0" w:type="dxa"/>
                    <w:right w:w="108" w:type="dxa"/>
                  </w:tcMar>
                  <w:hideMark/>
                </w:tcPr>
                <w:p w:rsidR="00065EE3" w:rsidRPr="00065EE3" w:rsidRDefault="00065EE3" w:rsidP="00065EE3">
                  <w:pPr>
                    <w:spacing w:after="0" w:line="198" w:lineRule="atLeast"/>
                    <w:jc w:val="both"/>
                    <w:rPr>
                      <w:rFonts w:ascii="Times New Roman" w:eastAsia="Times New Roman" w:hAnsi="Times New Roman" w:cs="Times New Roman"/>
                      <w:sz w:val="24"/>
                      <w:szCs w:val="24"/>
                    </w:rPr>
                  </w:pPr>
                  <w:r w:rsidRPr="00065EE3">
                    <w:rPr>
                      <w:rFonts w:ascii="Times New Roman" w:eastAsia="Times New Roman" w:hAnsi="Times New Roman" w:cs="Times New Roman"/>
                      <w:color w:val="000000"/>
                      <w:sz w:val="24"/>
                      <w:szCs w:val="24"/>
                      <w:lang w:val="nl-NL"/>
                    </w:rPr>
                    <w:t> </w:t>
                  </w:r>
                </w:p>
              </w:tc>
              <w:tc>
                <w:tcPr>
                  <w:tcW w:w="4838" w:type="dxa"/>
                  <w:tcBorders>
                    <w:top w:val="nil"/>
                    <w:left w:val="nil"/>
                    <w:bottom w:val="nil"/>
                    <w:right w:val="nil"/>
                  </w:tcBorders>
                  <w:shd w:val="clear" w:color="auto" w:fill="auto"/>
                  <w:tcMar>
                    <w:top w:w="0" w:type="dxa"/>
                    <w:left w:w="108" w:type="dxa"/>
                    <w:bottom w:w="0" w:type="dxa"/>
                    <w:right w:w="108" w:type="dxa"/>
                  </w:tcMar>
                  <w:hideMark/>
                </w:tcPr>
                <w:p w:rsidR="00065EE3" w:rsidRPr="00065EE3" w:rsidRDefault="00065EE3" w:rsidP="00065EE3">
                  <w:pPr>
                    <w:spacing w:after="0" w:line="240" w:lineRule="auto"/>
                    <w:jc w:val="center"/>
                    <w:rPr>
                      <w:rFonts w:ascii="Times New Roman" w:eastAsia="Times New Roman" w:hAnsi="Times New Roman" w:cs="Times New Roman"/>
                      <w:sz w:val="24"/>
                      <w:szCs w:val="24"/>
                    </w:rPr>
                  </w:pPr>
                  <w:r w:rsidRPr="00065EE3">
                    <w:rPr>
                      <w:rFonts w:ascii="Times New Roman" w:eastAsia="Times New Roman" w:hAnsi="Times New Roman" w:cs="Times New Roman"/>
                      <w:b/>
                      <w:bCs/>
                      <w:color w:val="000000"/>
                      <w:sz w:val="26"/>
                      <w:szCs w:val="26"/>
                      <w:lang w:val="nl-NL"/>
                    </w:rPr>
                    <w:t>TM. HỘI ĐỒNG QUẢN TRỊ</w:t>
                  </w:r>
                </w:p>
                <w:p w:rsidR="00065EE3" w:rsidRPr="00065EE3" w:rsidRDefault="00065EE3" w:rsidP="00C40E3B">
                  <w:pPr>
                    <w:spacing w:after="0" w:line="240" w:lineRule="auto"/>
                    <w:jc w:val="center"/>
                    <w:rPr>
                      <w:rFonts w:ascii="Times New Roman" w:eastAsia="Times New Roman" w:hAnsi="Times New Roman" w:cs="Times New Roman"/>
                      <w:sz w:val="24"/>
                      <w:szCs w:val="24"/>
                    </w:rPr>
                  </w:pPr>
                  <w:r w:rsidRPr="00065EE3">
                    <w:rPr>
                      <w:rFonts w:ascii="Times New Roman" w:eastAsia="Times New Roman" w:hAnsi="Times New Roman" w:cs="Times New Roman"/>
                      <w:b/>
                      <w:bCs/>
                      <w:color w:val="000000"/>
                      <w:sz w:val="26"/>
                      <w:szCs w:val="26"/>
                      <w:lang w:val="nl-NL"/>
                    </w:rPr>
                    <w:t>Chủ tịch</w:t>
                  </w:r>
                  <w:r w:rsidRPr="00065EE3">
                    <w:rPr>
                      <w:rFonts w:ascii="Times New Roman" w:eastAsia="Times New Roman" w:hAnsi="Times New Roman" w:cs="Times New Roman"/>
                      <w:sz w:val="24"/>
                      <w:szCs w:val="24"/>
                    </w:rPr>
                    <w:t> </w:t>
                  </w:r>
                </w:p>
                <w:p w:rsidR="00C40E3B" w:rsidRPr="001B1B8F" w:rsidRDefault="00C40E3B" w:rsidP="00065EE3">
                  <w:pPr>
                    <w:spacing w:after="0" w:line="240" w:lineRule="auto"/>
                    <w:jc w:val="center"/>
                    <w:rPr>
                      <w:rFonts w:ascii="Times New Roman" w:eastAsia="Times New Roman" w:hAnsi="Times New Roman" w:cs="Times New Roman"/>
                      <w:b/>
                      <w:color w:val="000000"/>
                      <w:sz w:val="26"/>
                      <w:szCs w:val="26"/>
                      <w:lang w:val="nl-NL"/>
                    </w:rPr>
                  </w:pPr>
                  <w:r w:rsidRPr="001B1B8F">
                    <w:rPr>
                      <w:rFonts w:ascii="Times New Roman" w:eastAsia="Times New Roman" w:hAnsi="Times New Roman" w:cs="Times New Roman"/>
                      <w:b/>
                      <w:color w:val="000000"/>
                      <w:sz w:val="26"/>
                      <w:szCs w:val="26"/>
                      <w:lang w:val="nl-NL"/>
                    </w:rPr>
                    <w:t>Phan Thanh Sơn</w:t>
                  </w:r>
                </w:p>
                <w:p w:rsidR="00065EE3" w:rsidRPr="00C40E3B" w:rsidRDefault="00C40E3B" w:rsidP="00065EE3">
                  <w:pPr>
                    <w:spacing w:after="0" w:line="240" w:lineRule="auto"/>
                    <w:jc w:val="center"/>
                    <w:rPr>
                      <w:rFonts w:ascii="Times New Roman" w:eastAsia="Times New Roman" w:hAnsi="Times New Roman" w:cs="Times New Roman"/>
                      <w:i/>
                      <w:sz w:val="24"/>
                      <w:szCs w:val="24"/>
                    </w:rPr>
                  </w:pPr>
                  <w:r w:rsidRPr="00C40E3B">
                    <w:rPr>
                      <w:rFonts w:ascii="Times New Roman" w:eastAsia="Times New Roman" w:hAnsi="Times New Roman" w:cs="Times New Roman"/>
                      <w:i/>
                      <w:color w:val="000000"/>
                      <w:sz w:val="24"/>
                      <w:szCs w:val="24"/>
                      <w:lang w:val="nl-NL"/>
                    </w:rPr>
                    <w:t>(Đã ký)</w:t>
                  </w:r>
                  <w:r w:rsidR="00065EE3" w:rsidRPr="00C40E3B">
                    <w:rPr>
                      <w:rFonts w:ascii="Times New Roman" w:eastAsia="Times New Roman" w:hAnsi="Times New Roman" w:cs="Times New Roman"/>
                      <w:i/>
                      <w:color w:val="000000"/>
                      <w:sz w:val="24"/>
                      <w:szCs w:val="24"/>
                      <w:lang w:val="nl-NL"/>
                    </w:rPr>
                    <w:t> </w:t>
                  </w:r>
                </w:p>
              </w:tc>
            </w:tr>
          </w:tbl>
          <w:p w:rsidR="00065EE3" w:rsidRPr="00065EE3" w:rsidRDefault="00065EE3" w:rsidP="00065EE3">
            <w:pPr>
              <w:spacing w:before="100" w:beforeAutospacing="1" w:after="100" w:afterAutospacing="1" w:line="240" w:lineRule="auto"/>
              <w:rPr>
                <w:rFonts w:ascii="Arial" w:eastAsia="Times New Roman" w:hAnsi="Arial" w:cs="Arial"/>
                <w:color w:val="000000"/>
                <w:sz w:val="18"/>
                <w:szCs w:val="18"/>
              </w:rPr>
            </w:pPr>
            <w:r w:rsidRPr="00065EE3">
              <w:rPr>
                <w:rFonts w:ascii="Arial" w:eastAsia="Times New Roman" w:hAnsi="Arial" w:cs="Arial"/>
                <w:color w:val="000000"/>
                <w:sz w:val="18"/>
                <w:szCs w:val="18"/>
              </w:rPr>
              <w:t> </w:t>
            </w:r>
          </w:p>
        </w:tc>
      </w:tr>
    </w:tbl>
    <w:p w:rsidR="009905E6" w:rsidRDefault="009905E6"/>
    <w:sectPr w:rsidR="009905E6" w:rsidSect="008D2149">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E3"/>
    <w:rsid w:val="00002356"/>
    <w:rsid w:val="00065EE3"/>
    <w:rsid w:val="000D7CBD"/>
    <w:rsid w:val="000D7E1C"/>
    <w:rsid w:val="001B1B8F"/>
    <w:rsid w:val="00214270"/>
    <w:rsid w:val="006A1DAB"/>
    <w:rsid w:val="00894926"/>
    <w:rsid w:val="008D2149"/>
    <w:rsid w:val="009905E6"/>
    <w:rsid w:val="00A03B1E"/>
    <w:rsid w:val="00A3053A"/>
    <w:rsid w:val="00A36C3E"/>
    <w:rsid w:val="00B53688"/>
    <w:rsid w:val="00B90DF1"/>
    <w:rsid w:val="00BC047E"/>
    <w:rsid w:val="00C40E3B"/>
    <w:rsid w:val="00D96AD7"/>
    <w:rsid w:val="00E7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EE3"/>
    <w:rPr>
      <w:color w:val="0000FF"/>
      <w:u w:val="single"/>
    </w:rPr>
  </w:style>
  <w:style w:type="character" w:customStyle="1" w:styleId="apple-converted-space">
    <w:name w:val="apple-converted-space"/>
    <w:basedOn w:val="DefaultParagraphFont"/>
    <w:rsid w:val="00065EE3"/>
  </w:style>
  <w:style w:type="paragraph" w:styleId="NormalWeb">
    <w:name w:val="Normal (Web)"/>
    <w:basedOn w:val="Normal"/>
    <w:uiPriority w:val="99"/>
    <w:unhideWhenUsed/>
    <w:rsid w:val="00065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EE3"/>
    <w:rPr>
      <w:b/>
      <w:bCs/>
    </w:rPr>
  </w:style>
  <w:style w:type="character" w:styleId="Emphasis">
    <w:name w:val="Emphasis"/>
    <w:basedOn w:val="DefaultParagraphFont"/>
    <w:uiPriority w:val="20"/>
    <w:qFormat/>
    <w:rsid w:val="00065E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EE3"/>
    <w:rPr>
      <w:color w:val="0000FF"/>
      <w:u w:val="single"/>
    </w:rPr>
  </w:style>
  <w:style w:type="character" w:customStyle="1" w:styleId="apple-converted-space">
    <w:name w:val="apple-converted-space"/>
    <w:basedOn w:val="DefaultParagraphFont"/>
    <w:rsid w:val="00065EE3"/>
  </w:style>
  <w:style w:type="paragraph" w:styleId="NormalWeb">
    <w:name w:val="Normal (Web)"/>
    <w:basedOn w:val="Normal"/>
    <w:uiPriority w:val="99"/>
    <w:unhideWhenUsed/>
    <w:rsid w:val="00065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EE3"/>
    <w:rPr>
      <w:b/>
      <w:bCs/>
    </w:rPr>
  </w:style>
  <w:style w:type="character" w:styleId="Emphasis">
    <w:name w:val="Emphasis"/>
    <w:basedOn w:val="DefaultParagraphFont"/>
    <w:uiPriority w:val="20"/>
    <w:qFormat/>
    <w:rsid w:val="00065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8148">
      <w:bodyDiv w:val="1"/>
      <w:marLeft w:val="0"/>
      <w:marRight w:val="0"/>
      <w:marTop w:val="0"/>
      <w:marBottom w:val="0"/>
      <w:divBdr>
        <w:top w:val="none" w:sz="0" w:space="0" w:color="auto"/>
        <w:left w:val="none" w:sz="0" w:space="0" w:color="auto"/>
        <w:bottom w:val="none" w:sz="0" w:space="0" w:color="auto"/>
        <w:right w:val="none" w:sz="0" w:space="0" w:color="auto"/>
      </w:divBdr>
      <w:divsChild>
        <w:div w:id="66055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sco.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Thinh</cp:lastModifiedBy>
  <cp:revision>2</cp:revision>
  <cp:lastPrinted>2001-12-31T17:24:00Z</cp:lastPrinted>
  <dcterms:created xsi:type="dcterms:W3CDTF">2015-07-10T07:18:00Z</dcterms:created>
  <dcterms:modified xsi:type="dcterms:W3CDTF">2015-07-10T07:18:00Z</dcterms:modified>
</cp:coreProperties>
</file>